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729B" w14:textId="77777777" w:rsidR="00473FD8" w:rsidRPr="00CD5D40" w:rsidRDefault="00473FD8" w:rsidP="003959F7">
      <w:pPr>
        <w:pStyle w:val="Ttulo1"/>
        <w:ind w:left="708" w:hanging="708"/>
        <w:jc w:val="center"/>
      </w:pPr>
      <w:r w:rsidRPr="00CD5D40">
        <w:t>Universidad Nacional Abierta y a Distancia</w:t>
      </w:r>
    </w:p>
    <w:p w14:paraId="1E545EFB" w14:textId="77777777" w:rsidR="00473FD8" w:rsidRPr="00CD5D40" w:rsidRDefault="00473FD8" w:rsidP="00C3062E">
      <w:pPr>
        <w:pStyle w:val="Ttulo1"/>
        <w:jc w:val="center"/>
      </w:pPr>
      <w:r w:rsidRPr="00CD5D40">
        <w:t>Vicerrectoría Académica y de Investigación</w:t>
      </w:r>
    </w:p>
    <w:p w14:paraId="25CC7F48" w14:textId="157F9EC2" w:rsidR="00473FD8" w:rsidRPr="001B2983" w:rsidRDefault="00473FD8" w:rsidP="00C3062E">
      <w:pPr>
        <w:pStyle w:val="Ttulo1"/>
        <w:jc w:val="center"/>
        <w:rPr>
          <w:i/>
          <w:iCs/>
          <w:color w:val="002060"/>
        </w:rPr>
      </w:pPr>
      <w:r w:rsidRPr="00CD5D40">
        <w:t xml:space="preserve">Unidad </w:t>
      </w:r>
      <w:r w:rsidR="009C3314" w:rsidRPr="00CD5D40">
        <w:t>g</w:t>
      </w:r>
      <w:r w:rsidR="0046334A" w:rsidRPr="00CD5D40">
        <w:t>estora</w:t>
      </w:r>
      <w:r w:rsidRPr="00CD5D40">
        <w:t xml:space="preserve">: </w:t>
      </w:r>
      <w:sdt>
        <w:sdtPr>
          <w:rPr>
            <w:rStyle w:val="Estilo1"/>
          </w:rPr>
          <w:alias w:val="Seleccione la unidad a la cual pertenece el curso"/>
          <w:tag w:val="Seleccione la unidad a la que pertenece el curso"/>
          <w:id w:val="-1191452942"/>
          <w:placeholder>
            <w:docPart w:val="5830CED5ABB84B3EB98494C209E0CAC2"/>
          </w:placeholder>
          <w15:color w:val="000000"/>
          <w:dropDownList>
            <w:listItem w:value="Elija un elemento."/>
            <w:listItem w:displayText="Vicerrectoría de Servicios a Aspirantes Estudiantes y Egresados VISAE" w:value="Vicerrectoría de Servicios a Aspirantes Estudiantes y Egresados VISAE"/>
            <w:listItem w:displayText="Vicerrectoría de Inclusión Social para el Desarrollo Regional y Proyección Comunitaria VIDER" w:value="Vicerrectoría de Inclusión Social para el Desarrollo Regional y Proyección Comunitaria VIDER"/>
            <w:listItem w:displayText="Vicerrectoría Académica y de Investigación VIACI" w:value="Vicerrectoría Académica y de Investigación VIACI"/>
            <w:listItem w:displayText="Vicerrectoría Relaciones Intersistémicas e Internacionales VINTER" w:value="Vicerrectoría Relaciones Intersistémicas e Internacionales VINTER"/>
            <w:listItem w:displayText="Vicerrectoría de Medios y Mediaciones Pedagógicas VIMEP" w:value="Vicerrectoría de Medios y Mediaciones Pedagógicas VIMEP"/>
            <w:listItem w:displayText="Vicerrectoría de Innovación y Emprendimiento VIEM" w:value="Vicerrectoría de Innovación y Emprendimiento VIEM"/>
            <w:listItem w:displayText="Escuela de Ciencias de la Educación ECEDU" w:value="Escuela de Ciencias de la Educación ECEDU"/>
            <w:listItem w:displayText="Escuela de Ciencias Básicas Tecnología e Ingeniería ECBTI" w:value="Escuela de Ciencias Básicas Tecnología e Ingeniería ECBTI"/>
            <w:listItem w:displayText="Escuela de Ciencias Administrativas, Contables, Económicas  y de Negocios ECACEN" w:value="Escuela de Ciencias Administrativas, Contables, Económicas  y de Negocios ECACEN"/>
            <w:listItem w:displayText="Escuela de Ciencias Jurídicas y Políticas ECJP" w:value="Escuela de Ciencias Jurídicas y Políticas ECJP"/>
            <w:listItem w:displayText="Escuela de Ciencias de la Salud ECISA" w:value="Escuela de Ciencias de la Salud ECISA"/>
            <w:listItem w:displayText="Escuela de Ciencias Agrícolas Pecuarias y del Medio Ambiente ECAPMA" w:value="Escuela de Ciencias Agrícolas Pecuarias y del Medio Ambiente ECAPMA"/>
            <w:listItem w:displayText="Escuela de Ciencias Sociales Artes y Humanidades ECSAH" w:value="Escuela de Ciencias Sociales Artes y Humanidades ECSAH"/>
            <w:listItem w:displayText="Instituto Virtual de Lenguas INVIL" w:value="Instituto Virtual de Lenguas INVIL"/>
            <w:listItem w:displayText="Instituto Tecnico Profesional ITP" w:value="Instituto Tecnico Profesional ITP"/>
            <w:listItem w:displayText="Instituto de Gobierno y Gestión Pública IGGP" w:value="Instituto de Gobierno y Gestión Pública IGGP"/>
          </w:dropDownList>
        </w:sdtPr>
        <w:sdtEndPr>
          <w:rPr>
            <w:rStyle w:val="Fuentedeprrafopredeter"/>
            <w:rFonts w:cs="Arial"/>
          </w:rPr>
        </w:sdtEndPr>
        <w:sdtContent>
          <w:r w:rsidR="00902B23">
            <w:rPr>
              <w:rStyle w:val="Estilo1"/>
            </w:rPr>
            <w:t>Escuela de Ciencias de la Educación ECEDU</w:t>
          </w:r>
        </w:sdtContent>
      </w:sdt>
    </w:p>
    <w:p w14:paraId="313BAB33" w14:textId="77FA20E7" w:rsidR="00473FD8" w:rsidRPr="001B2983" w:rsidRDefault="00473FD8" w:rsidP="00C3062E">
      <w:pPr>
        <w:pStyle w:val="Ttulo1"/>
        <w:jc w:val="center"/>
        <w:rPr>
          <w:i/>
          <w:iCs/>
          <w:color w:val="002060"/>
        </w:rPr>
      </w:pPr>
      <w:r w:rsidRPr="00CD5D40">
        <w:t xml:space="preserve">Programa: </w:t>
      </w:r>
      <w:r w:rsidR="00902B23" w:rsidRPr="00263D4E">
        <w:rPr>
          <w:bCs/>
        </w:rPr>
        <w:t>Licenciatura en Matemáticas</w:t>
      </w:r>
    </w:p>
    <w:p w14:paraId="138062CC" w14:textId="77777777" w:rsidR="00E12B66" w:rsidRDefault="00E12B66" w:rsidP="00E12B66">
      <w:pPr>
        <w:spacing w:after="0" w:line="240" w:lineRule="auto"/>
        <w:jc w:val="center"/>
        <w:rPr>
          <w:b/>
          <w:bCs/>
        </w:rPr>
      </w:pPr>
    </w:p>
    <w:p w14:paraId="333282E0" w14:textId="3F5ADD7D" w:rsidR="00E12B66" w:rsidRPr="00E12B66" w:rsidRDefault="00473FD8" w:rsidP="00E12B66">
      <w:pPr>
        <w:spacing w:after="0" w:line="240" w:lineRule="auto"/>
        <w:jc w:val="center"/>
        <w:rPr>
          <w:b/>
          <w:bCs/>
        </w:rPr>
      </w:pPr>
      <w:r w:rsidRPr="00E12B66">
        <w:rPr>
          <w:b/>
          <w:bCs/>
        </w:rPr>
        <w:t xml:space="preserve">Curso: </w:t>
      </w:r>
      <w:r w:rsidR="00E12B66" w:rsidRPr="00E12B66">
        <w:rPr>
          <w:b/>
          <w:bCs/>
        </w:rPr>
        <w:t xml:space="preserve">Práctica Pedagógica Investigativa I </w:t>
      </w:r>
    </w:p>
    <w:p w14:paraId="42E398A7" w14:textId="09DB8BD6" w:rsidR="00473FD8" w:rsidRPr="00CD5D40" w:rsidRDefault="00473FD8" w:rsidP="00C3062E">
      <w:pPr>
        <w:pStyle w:val="Ttulo1"/>
        <w:jc w:val="center"/>
      </w:pPr>
      <w:r w:rsidRPr="00CD5D40">
        <w:t xml:space="preserve">Código: </w:t>
      </w:r>
      <w:r w:rsidR="00E12B66">
        <w:t>551162</w:t>
      </w:r>
    </w:p>
    <w:p w14:paraId="2740CDA5" w14:textId="77777777" w:rsidR="00FD7AF9" w:rsidRDefault="00FD7AF9" w:rsidP="00245DAE">
      <w:pPr>
        <w:spacing w:after="0" w:line="240" w:lineRule="auto"/>
        <w:jc w:val="center"/>
        <w:rPr>
          <w:rFonts w:cstheme="minorHAnsi"/>
          <w:b/>
          <w:szCs w:val="24"/>
        </w:rPr>
      </w:pPr>
    </w:p>
    <w:p w14:paraId="4116779E" w14:textId="77777777" w:rsidR="00E12B66" w:rsidRDefault="00E12B66" w:rsidP="00245DAE">
      <w:pPr>
        <w:spacing w:after="0" w:line="240" w:lineRule="auto"/>
        <w:jc w:val="center"/>
        <w:rPr>
          <w:rFonts w:cstheme="minorHAnsi"/>
          <w:b/>
          <w:szCs w:val="24"/>
        </w:rPr>
      </w:pPr>
    </w:p>
    <w:p w14:paraId="5BCC9C60" w14:textId="77777777" w:rsidR="00E12B66" w:rsidRDefault="00E12B66" w:rsidP="00245DAE">
      <w:pPr>
        <w:spacing w:after="0" w:line="240" w:lineRule="auto"/>
        <w:jc w:val="center"/>
        <w:rPr>
          <w:rFonts w:cstheme="minorHAnsi"/>
          <w:b/>
          <w:szCs w:val="24"/>
        </w:rPr>
      </w:pPr>
    </w:p>
    <w:p w14:paraId="26C70387" w14:textId="50C93106" w:rsidR="008134BC" w:rsidRDefault="00E37838" w:rsidP="008134BC">
      <w:pPr>
        <w:spacing w:after="0" w:line="240" w:lineRule="auto"/>
        <w:jc w:val="center"/>
        <w:rPr>
          <w:rFonts w:cstheme="minorHAnsi"/>
          <w:b/>
          <w:szCs w:val="24"/>
        </w:rPr>
      </w:pPr>
      <w:r>
        <w:rPr>
          <w:rFonts w:cstheme="minorHAnsi"/>
          <w:b/>
          <w:szCs w:val="24"/>
        </w:rPr>
        <w:t xml:space="preserve">Anexo </w:t>
      </w:r>
      <w:r w:rsidR="00B60F29">
        <w:rPr>
          <w:rFonts w:cstheme="minorHAnsi"/>
          <w:b/>
          <w:szCs w:val="24"/>
        </w:rPr>
        <w:t>10</w:t>
      </w:r>
      <w:r>
        <w:rPr>
          <w:rFonts w:cstheme="minorHAnsi"/>
          <w:b/>
          <w:szCs w:val="24"/>
        </w:rPr>
        <w:t>.</w:t>
      </w:r>
    </w:p>
    <w:p w14:paraId="0883015A" w14:textId="52DFBFB0" w:rsidR="00E12B66" w:rsidRDefault="00B60F29" w:rsidP="00245DAE">
      <w:pPr>
        <w:spacing w:after="0" w:line="240" w:lineRule="auto"/>
        <w:jc w:val="center"/>
        <w:rPr>
          <w:rFonts w:cstheme="minorHAnsi"/>
          <w:b/>
          <w:szCs w:val="24"/>
        </w:rPr>
      </w:pPr>
      <w:r>
        <w:rPr>
          <w:rFonts w:cstheme="minorHAnsi"/>
          <w:b/>
          <w:szCs w:val="24"/>
        </w:rPr>
        <w:t>M</w:t>
      </w:r>
      <w:r w:rsidRPr="00B60F29">
        <w:rPr>
          <w:rFonts w:cstheme="minorHAnsi"/>
          <w:b/>
          <w:szCs w:val="24"/>
        </w:rPr>
        <w:t>arco teórico</w:t>
      </w:r>
    </w:p>
    <w:p w14:paraId="0ECF619D" w14:textId="77777777" w:rsidR="00B60F29" w:rsidRDefault="00B60F29" w:rsidP="00245DAE">
      <w:pPr>
        <w:spacing w:after="0" w:line="240" w:lineRule="auto"/>
        <w:jc w:val="center"/>
        <w:rPr>
          <w:rFonts w:cstheme="minorHAnsi"/>
          <w:b/>
          <w:szCs w:val="24"/>
        </w:rPr>
      </w:pPr>
    </w:p>
    <w:p w14:paraId="6C01E404" w14:textId="77777777" w:rsidR="002F5095" w:rsidRPr="00C764FE" w:rsidRDefault="002F5095" w:rsidP="002F5095">
      <w:pPr>
        <w:pStyle w:val="Prrafodelista"/>
        <w:numPr>
          <w:ilvl w:val="0"/>
          <w:numId w:val="16"/>
        </w:numPr>
        <w:rPr>
          <w:bCs/>
        </w:rPr>
      </w:pPr>
      <w:r w:rsidRPr="00C764FE">
        <w:rPr>
          <w:bCs/>
        </w:rPr>
        <w:t>Aproximación al marco teórico</w:t>
      </w:r>
    </w:p>
    <w:p w14:paraId="1F956E7B" w14:textId="77777777" w:rsidR="002F5095" w:rsidRPr="009025FC" w:rsidRDefault="002F5095" w:rsidP="002F5095">
      <w:pPr>
        <w:rPr>
          <w:rFonts w:cs="Times New Roman"/>
        </w:rPr>
      </w:pPr>
      <w:r w:rsidRPr="009025FC">
        <w:t xml:space="preserve">Presentar una breve síntesis de </w:t>
      </w:r>
      <w:r>
        <w:t>diez</w:t>
      </w:r>
      <w:r w:rsidRPr="009025FC">
        <w:t xml:space="preserve"> (</w:t>
      </w:r>
      <w:r>
        <w:t>10</w:t>
      </w:r>
      <w:r w:rsidRPr="009025FC">
        <w:t>) conceptos teóricos implicados en el planteamiento del problema y los objetivos de la investigación, con base en la revisión de teorías que:</w:t>
      </w:r>
    </w:p>
    <w:tbl>
      <w:tblPr>
        <w:tblStyle w:val="Tablaconcuadrcula"/>
        <w:tblW w:w="10526" w:type="dxa"/>
        <w:tblInd w:w="-289" w:type="dxa"/>
        <w:tblLook w:val="04A0" w:firstRow="1" w:lastRow="0" w:firstColumn="1" w:lastColumn="0" w:noHBand="0" w:noVBand="1"/>
        <w:tblCaption w:val="Referencias bibliograficas "/>
        <w:tblDescription w:val="Cuadro para diligenciar  como aproximación a la construcción del marco teórico"/>
      </w:tblPr>
      <w:tblGrid>
        <w:gridCol w:w="2827"/>
        <w:gridCol w:w="3792"/>
        <w:gridCol w:w="3907"/>
      </w:tblGrid>
      <w:tr w:rsidR="00F902F5" w:rsidRPr="00F902F5" w14:paraId="20F34E52" w14:textId="77777777" w:rsidTr="00B5420E">
        <w:trPr>
          <w:trHeight w:val="334"/>
        </w:trPr>
        <w:tc>
          <w:tcPr>
            <w:tcW w:w="2742" w:type="dxa"/>
            <w:shd w:val="clear" w:color="auto" w:fill="EBF2F9"/>
          </w:tcPr>
          <w:p w14:paraId="42BC366E" w14:textId="77777777" w:rsidR="002F5095" w:rsidRPr="00F902F5" w:rsidRDefault="002F5095" w:rsidP="00B5420E">
            <w:pPr>
              <w:pStyle w:val="Default"/>
              <w:spacing w:line="276" w:lineRule="auto"/>
              <w:rPr>
                <w:rFonts w:ascii="Verdana" w:hAnsi="Verdana"/>
                <w:b/>
                <w:color w:val="auto"/>
              </w:rPr>
            </w:pPr>
            <w:r w:rsidRPr="00F902F5">
              <w:rPr>
                <w:rFonts w:ascii="Verdana" w:hAnsi="Verdana"/>
                <w:b/>
                <w:color w:val="auto"/>
              </w:rPr>
              <w:t>Referencia bibliográfica</w:t>
            </w:r>
          </w:p>
        </w:tc>
        <w:tc>
          <w:tcPr>
            <w:tcW w:w="3837" w:type="dxa"/>
            <w:shd w:val="clear" w:color="auto" w:fill="EBF2F9"/>
          </w:tcPr>
          <w:p w14:paraId="4980FA52" w14:textId="77777777" w:rsidR="002F5095" w:rsidRPr="00F902F5" w:rsidRDefault="002F5095" w:rsidP="00B5420E">
            <w:pPr>
              <w:pStyle w:val="Default"/>
              <w:spacing w:line="276" w:lineRule="auto"/>
              <w:rPr>
                <w:rFonts w:ascii="Verdana" w:hAnsi="Verdana"/>
                <w:b/>
                <w:color w:val="auto"/>
              </w:rPr>
            </w:pPr>
            <w:r w:rsidRPr="00F902F5">
              <w:rPr>
                <w:rFonts w:ascii="Verdana" w:hAnsi="Verdana"/>
                <w:b/>
                <w:color w:val="auto"/>
              </w:rPr>
              <w:t>Citas bibliográficas</w:t>
            </w:r>
          </w:p>
        </w:tc>
        <w:tc>
          <w:tcPr>
            <w:tcW w:w="3947" w:type="dxa"/>
            <w:shd w:val="clear" w:color="auto" w:fill="EBF2F9"/>
          </w:tcPr>
          <w:p w14:paraId="740FE5E4" w14:textId="77777777" w:rsidR="002F5095" w:rsidRPr="00F902F5" w:rsidRDefault="002F5095" w:rsidP="00B5420E">
            <w:pPr>
              <w:pStyle w:val="Default"/>
              <w:spacing w:line="276" w:lineRule="auto"/>
              <w:rPr>
                <w:rFonts w:ascii="Verdana" w:hAnsi="Verdana"/>
                <w:b/>
                <w:color w:val="auto"/>
              </w:rPr>
            </w:pPr>
            <w:r w:rsidRPr="00F902F5">
              <w:rPr>
                <w:rFonts w:ascii="Verdana" w:hAnsi="Verdana"/>
                <w:b/>
                <w:color w:val="auto"/>
              </w:rPr>
              <w:t>Conceptualización</w:t>
            </w:r>
          </w:p>
        </w:tc>
      </w:tr>
      <w:tr w:rsidR="00F902F5" w:rsidRPr="00F902F5" w14:paraId="6A943488" w14:textId="77777777" w:rsidTr="00B5420E">
        <w:trPr>
          <w:trHeight w:val="959"/>
        </w:trPr>
        <w:tc>
          <w:tcPr>
            <w:tcW w:w="2742" w:type="dxa"/>
          </w:tcPr>
          <w:p w14:paraId="54060407" w14:textId="77777777" w:rsidR="002F5095" w:rsidRDefault="00F902F5" w:rsidP="00B5420E">
            <w:pPr>
              <w:pStyle w:val="Default"/>
              <w:spacing w:line="276" w:lineRule="auto"/>
              <w:jc w:val="left"/>
              <w:rPr>
                <w:rFonts w:ascii="Verdana" w:hAnsi="Verdana"/>
                <w:color w:val="auto"/>
              </w:rPr>
            </w:pPr>
            <w:proofErr w:type="spellStart"/>
            <w:r w:rsidRPr="00F902F5">
              <w:rPr>
                <w:rFonts w:ascii="Verdana" w:hAnsi="Verdana"/>
                <w:color w:val="auto"/>
              </w:rPr>
              <w:t>Castellaro</w:t>
            </w:r>
            <w:proofErr w:type="spellEnd"/>
            <w:r w:rsidRPr="00F902F5">
              <w:rPr>
                <w:rFonts w:ascii="Verdana" w:hAnsi="Verdana"/>
                <w:color w:val="auto"/>
              </w:rPr>
              <w:t xml:space="preserve">, M., &amp; Peralta, N. S. (2020). Pensar el conocimiento escolar desde el </w:t>
            </w:r>
            <w:proofErr w:type="spellStart"/>
            <w:r w:rsidRPr="00F902F5">
              <w:rPr>
                <w:rFonts w:ascii="Verdana" w:hAnsi="Verdana"/>
                <w:color w:val="auto"/>
              </w:rPr>
              <w:t>socioconstructivismo</w:t>
            </w:r>
            <w:proofErr w:type="spellEnd"/>
            <w:r w:rsidRPr="00F902F5">
              <w:rPr>
                <w:rFonts w:ascii="Verdana" w:hAnsi="Verdana"/>
                <w:color w:val="auto"/>
              </w:rPr>
              <w:t xml:space="preserve">: interacción, construcción y contexto. </w:t>
            </w:r>
            <w:r w:rsidRPr="00F902F5">
              <w:rPr>
                <w:rFonts w:ascii="Verdana" w:hAnsi="Verdana"/>
                <w:i/>
                <w:iCs/>
                <w:color w:val="auto"/>
              </w:rPr>
              <w:t>Perfiles educativos</w:t>
            </w:r>
            <w:r w:rsidRPr="00F902F5">
              <w:rPr>
                <w:rFonts w:ascii="Verdana" w:hAnsi="Verdana"/>
                <w:color w:val="auto"/>
              </w:rPr>
              <w:t xml:space="preserve">, </w:t>
            </w:r>
            <w:r w:rsidRPr="00F902F5">
              <w:rPr>
                <w:rFonts w:ascii="Verdana" w:hAnsi="Verdana"/>
                <w:i/>
                <w:iCs/>
                <w:color w:val="auto"/>
              </w:rPr>
              <w:t>42</w:t>
            </w:r>
            <w:r w:rsidRPr="00F902F5">
              <w:rPr>
                <w:rFonts w:ascii="Verdana" w:hAnsi="Verdana"/>
                <w:color w:val="auto"/>
              </w:rPr>
              <w:t>(168), 140-156.</w:t>
            </w:r>
          </w:p>
          <w:p w14:paraId="5D7C052A" w14:textId="751622E0" w:rsidR="00F902F5" w:rsidRPr="00F902F5" w:rsidRDefault="00F902F5" w:rsidP="00B5420E">
            <w:pPr>
              <w:pStyle w:val="Default"/>
              <w:spacing w:line="276" w:lineRule="auto"/>
              <w:jc w:val="left"/>
              <w:rPr>
                <w:rFonts w:ascii="Verdana" w:hAnsi="Verdana"/>
                <w:color w:val="auto"/>
              </w:rPr>
            </w:pPr>
            <w:hyperlink r:id="rId11" w:history="1">
              <w:r w:rsidRPr="00F902F5">
                <w:rPr>
                  <w:rStyle w:val="Hipervnculo"/>
                  <w:rFonts w:ascii="Verdana" w:hAnsi="Verdana"/>
                </w:rPr>
                <w:t>Enlace w</w:t>
              </w:r>
              <w:r w:rsidRPr="00F902F5">
                <w:rPr>
                  <w:rStyle w:val="Hipervnculo"/>
                  <w:rFonts w:ascii="Verdana" w:hAnsi="Verdana"/>
                </w:rPr>
                <w:t>e</w:t>
              </w:r>
              <w:r w:rsidRPr="00F902F5">
                <w:rPr>
                  <w:rStyle w:val="Hipervnculo"/>
                  <w:rFonts w:ascii="Verdana" w:hAnsi="Verdana"/>
                </w:rPr>
                <w:t>b</w:t>
              </w:r>
            </w:hyperlink>
          </w:p>
        </w:tc>
        <w:tc>
          <w:tcPr>
            <w:tcW w:w="3837" w:type="dxa"/>
          </w:tcPr>
          <w:p w14:paraId="79DEF2A6" w14:textId="39BDA10E" w:rsidR="002F5095" w:rsidRPr="00F902F5" w:rsidRDefault="002F5095" w:rsidP="00F902F5">
            <w:pPr>
              <w:pStyle w:val="Default"/>
              <w:spacing w:line="276" w:lineRule="auto"/>
              <w:rPr>
                <w:rFonts w:ascii="Verdana" w:hAnsi="Verdana"/>
                <w:color w:val="auto"/>
              </w:rPr>
            </w:pPr>
            <w:r w:rsidRPr="00F902F5">
              <w:rPr>
                <w:rFonts w:ascii="Verdana" w:hAnsi="Verdana"/>
                <w:color w:val="auto"/>
              </w:rPr>
              <w:t>“</w:t>
            </w:r>
            <w:r w:rsidR="00F902F5" w:rsidRPr="00F902F5">
              <w:rPr>
                <w:rFonts w:ascii="Verdana" w:hAnsi="Verdana"/>
                <w:color w:val="auto"/>
              </w:rPr>
              <w:t>Cuando hablamos de conflicto sociocognitivo hacemos referencia a una situación en la que dos o más sujetos que se encuentran resolviendo una tarea, presentan puntos de vista u opiniones diferentes sobre la posible resolución.</w:t>
            </w:r>
            <w:r w:rsidRPr="00F902F5">
              <w:rPr>
                <w:rFonts w:ascii="Verdana" w:hAnsi="Verdana"/>
                <w:color w:val="auto"/>
              </w:rPr>
              <w:t>” (</w:t>
            </w:r>
            <w:r w:rsidR="00F902F5" w:rsidRPr="00F902F5">
              <w:rPr>
                <w:rFonts w:ascii="Verdana" w:hAnsi="Verdana"/>
                <w:color w:val="auto"/>
              </w:rPr>
              <w:t xml:space="preserve">Mariano </w:t>
            </w:r>
            <w:proofErr w:type="spellStart"/>
            <w:r w:rsidR="00F902F5" w:rsidRPr="00F902F5">
              <w:rPr>
                <w:rFonts w:ascii="Verdana" w:hAnsi="Verdana"/>
                <w:color w:val="auto"/>
              </w:rPr>
              <w:t>Castellaro</w:t>
            </w:r>
            <w:proofErr w:type="spellEnd"/>
            <w:r w:rsidR="00F902F5">
              <w:rPr>
                <w:rFonts w:ascii="Verdana" w:hAnsi="Verdana"/>
                <w:color w:val="auto"/>
              </w:rPr>
              <w:t xml:space="preserve">, </w:t>
            </w:r>
            <w:r w:rsidR="00F902F5" w:rsidRPr="00F902F5">
              <w:rPr>
                <w:rFonts w:ascii="Verdana" w:hAnsi="Verdana"/>
                <w:color w:val="auto"/>
              </w:rPr>
              <w:t>Nadia</w:t>
            </w:r>
            <w:r w:rsidR="00F902F5">
              <w:rPr>
                <w:rFonts w:ascii="Verdana" w:hAnsi="Verdana"/>
                <w:color w:val="auto"/>
              </w:rPr>
              <w:t xml:space="preserve"> </w:t>
            </w:r>
            <w:r w:rsidR="00F902F5" w:rsidRPr="00F902F5">
              <w:rPr>
                <w:rFonts w:ascii="Verdana" w:hAnsi="Verdana"/>
                <w:color w:val="auto"/>
              </w:rPr>
              <w:t>Soledad Peralta</w:t>
            </w:r>
            <w:r w:rsidR="00F902F5">
              <w:rPr>
                <w:rFonts w:ascii="Verdana" w:hAnsi="Verdana"/>
                <w:color w:val="auto"/>
              </w:rPr>
              <w:t xml:space="preserve">, </w:t>
            </w:r>
            <w:r w:rsidR="00F902F5" w:rsidRPr="00F902F5">
              <w:rPr>
                <w:rFonts w:ascii="Verdana" w:hAnsi="Verdana"/>
                <w:color w:val="auto"/>
              </w:rPr>
              <w:t>Perfiles educativos vol.42 no.168 Ciudad de México abr./jun. 2020</w:t>
            </w:r>
            <w:r w:rsidR="00F902F5">
              <w:rPr>
                <w:rFonts w:ascii="Verdana" w:hAnsi="Verdana"/>
                <w:color w:val="auto"/>
              </w:rPr>
              <w:t>.</w:t>
            </w:r>
            <w:r w:rsidR="00F902F5" w:rsidRPr="00F902F5">
              <w:rPr>
                <w:rFonts w:ascii="Verdana" w:hAnsi="Verdana"/>
                <w:color w:val="auto"/>
              </w:rPr>
              <w:t xml:space="preserve"> </w:t>
            </w:r>
            <w:proofErr w:type="spellStart"/>
            <w:r w:rsidR="00F902F5" w:rsidRPr="00F902F5">
              <w:rPr>
                <w:rFonts w:ascii="Verdana" w:hAnsi="Verdana"/>
                <w:color w:val="auto"/>
              </w:rPr>
              <w:t>Epub</w:t>
            </w:r>
            <w:proofErr w:type="spellEnd"/>
            <w:r w:rsidR="00F902F5" w:rsidRPr="00F902F5">
              <w:rPr>
                <w:rFonts w:ascii="Verdana" w:hAnsi="Verdana"/>
                <w:color w:val="auto"/>
              </w:rPr>
              <w:t xml:space="preserve"> 09-Mar-2021</w:t>
            </w:r>
            <w:r w:rsidRPr="00F902F5">
              <w:rPr>
                <w:rFonts w:ascii="Verdana" w:hAnsi="Verdana"/>
                <w:color w:val="auto"/>
              </w:rPr>
              <w:t>).</w:t>
            </w:r>
          </w:p>
        </w:tc>
        <w:tc>
          <w:tcPr>
            <w:tcW w:w="3947" w:type="dxa"/>
          </w:tcPr>
          <w:p w14:paraId="790FB4B3" w14:textId="44378AB7" w:rsidR="002F5095" w:rsidRPr="00F902F5" w:rsidRDefault="00F902F5" w:rsidP="00B5420E">
            <w:pPr>
              <w:pStyle w:val="Default"/>
              <w:spacing w:line="276" w:lineRule="auto"/>
              <w:jc w:val="left"/>
              <w:rPr>
                <w:rFonts w:ascii="Verdana" w:hAnsi="Verdana"/>
                <w:color w:val="auto"/>
              </w:rPr>
            </w:pPr>
            <w:r w:rsidRPr="00F902F5">
              <w:rPr>
                <w:rFonts w:ascii="Verdana" w:hAnsi="Verdana"/>
                <w:color w:val="auto"/>
              </w:rPr>
              <w:t xml:space="preserve">El conflicto sociocognitivo es fundamental para la enseñanza de las fracciones, ya que promueve el razonamiento y la reflexión cuando los estudiantes confrontan diferentes formas de resolver un problema. En el aula rural, este tipo de interacción fomenta el aprendizaje colaborativo y permite que los niños comparen sus ideas, argumenten y construyan significados compartidos sobre las operaciones con </w:t>
            </w:r>
            <w:r w:rsidRPr="00F902F5">
              <w:rPr>
                <w:rFonts w:ascii="Verdana" w:hAnsi="Verdana"/>
                <w:color w:val="auto"/>
              </w:rPr>
              <w:lastRenderedPageBreak/>
              <w:t>fracciones, desarrollando así una comprensión más profunda y significativa.</w:t>
            </w:r>
          </w:p>
        </w:tc>
      </w:tr>
      <w:tr w:rsidR="00F902F5" w:rsidRPr="00F902F5" w14:paraId="671C29C8" w14:textId="77777777" w:rsidTr="00B5420E">
        <w:trPr>
          <w:trHeight w:val="959"/>
        </w:trPr>
        <w:tc>
          <w:tcPr>
            <w:tcW w:w="2742" w:type="dxa"/>
          </w:tcPr>
          <w:p w14:paraId="657F0097" w14:textId="3CC98389" w:rsidR="001C6B52" w:rsidRDefault="001C6B52" w:rsidP="00B5420E">
            <w:pPr>
              <w:pStyle w:val="Default"/>
              <w:spacing w:line="276" w:lineRule="auto"/>
              <w:jc w:val="left"/>
              <w:rPr>
                <w:rFonts w:ascii="Verdana" w:hAnsi="Verdana"/>
                <w:color w:val="auto"/>
              </w:rPr>
            </w:pPr>
            <w:proofErr w:type="spellStart"/>
            <w:r w:rsidRPr="001C6B52">
              <w:rPr>
                <w:rFonts w:ascii="Verdana" w:hAnsi="Verdana"/>
                <w:color w:val="auto"/>
              </w:rPr>
              <w:lastRenderedPageBreak/>
              <w:t>Vigotsky</w:t>
            </w:r>
            <w:proofErr w:type="spellEnd"/>
            <w:r w:rsidRPr="001C6B52">
              <w:rPr>
                <w:rFonts w:ascii="Verdana" w:hAnsi="Verdana"/>
                <w:color w:val="auto"/>
              </w:rPr>
              <w:t xml:space="preserve">, L. S. (1988). Interacción entre enseñanza y desarrollo. </w:t>
            </w:r>
            <w:r w:rsidRPr="001C6B52">
              <w:rPr>
                <w:rFonts w:ascii="Verdana" w:hAnsi="Verdana"/>
                <w:i/>
                <w:iCs/>
                <w:color w:val="auto"/>
              </w:rPr>
              <w:t>Selección de Lecturas de Psicología de las Edades I</w:t>
            </w:r>
            <w:r w:rsidRPr="001C6B52">
              <w:rPr>
                <w:rFonts w:ascii="Verdana" w:hAnsi="Verdana"/>
                <w:color w:val="auto"/>
              </w:rPr>
              <w:t xml:space="preserve">, </w:t>
            </w:r>
            <w:r w:rsidRPr="001C6B52">
              <w:rPr>
                <w:rFonts w:ascii="Verdana" w:hAnsi="Verdana"/>
                <w:i/>
                <w:iCs/>
                <w:color w:val="auto"/>
              </w:rPr>
              <w:t>3</w:t>
            </w:r>
            <w:r w:rsidRPr="001C6B52">
              <w:rPr>
                <w:rFonts w:ascii="Verdana" w:hAnsi="Verdana"/>
                <w:color w:val="auto"/>
              </w:rPr>
              <w:t>(37), 1-13.</w:t>
            </w:r>
          </w:p>
          <w:p w14:paraId="52B028D6" w14:textId="497E45B5" w:rsidR="002F5095" w:rsidRPr="00F902F5" w:rsidRDefault="001C6B52" w:rsidP="00B5420E">
            <w:pPr>
              <w:pStyle w:val="Default"/>
              <w:spacing w:line="276" w:lineRule="auto"/>
              <w:jc w:val="left"/>
              <w:rPr>
                <w:rFonts w:ascii="Verdana" w:hAnsi="Verdana"/>
                <w:color w:val="auto"/>
              </w:rPr>
            </w:pPr>
            <w:hyperlink r:id="rId12" w:history="1">
              <w:r w:rsidRPr="001C6B52">
                <w:rPr>
                  <w:rStyle w:val="Hipervnculo"/>
                  <w:rFonts w:ascii="Verdana" w:hAnsi="Verdana"/>
                </w:rPr>
                <w:t>Enlace web</w:t>
              </w:r>
            </w:hyperlink>
          </w:p>
        </w:tc>
        <w:tc>
          <w:tcPr>
            <w:tcW w:w="3837" w:type="dxa"/>
          </w:tcPr>
          <w:p w14:paraId="4B1B7501" w14:textId="34F7E975"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w:t>
            </w:r>
            <w:r w:rsidR="001C6B52" w:rsidRPr="001C6B52">
              <w:rPr>
                <w:rFonts w:ascii="Verdana" w:hAnsi="Verdana"/>
                <w:color w:val="auto"/>
              </w:rPr>
              <w:t>El proceso de aprendizaje estimula y hace avanzar al proceso de maduración</w:t>
            </w:r>
            <w:r w:rsidRPr="00F902F5">
              <w:rPr>
                <w:rFonts w:ascii="Verdana" w:hAnsi="Verdana"/>
                <w:color w:val="auto"/>
              </w:rPr>
              <w:t>” (</w:t>
            </w:r>
            <w:proofErr w:type="spellStart"/>
            <w:r w:rsidR="001C6B52" w:rsidRPr="001C6B52">
              <w:rPr>
                <w:rFonts w:ascii="Verdana" w:hAnsi="Verdana"/>
                <w:color w:val="auto"/>
              </w:rPr>
              <w:t>Vigotsky</w:t>
            </w:r>
            <w:proofErr w:type="spellEnd"/>
            <w:r w:rsidR="001C6B52" w:rsidRPr="001C6B52">
              <w:rPr>
                <w:rFonts w:ascii="Verdana" w:hAnsi="Verdana"/>
                <w:color w:val="auto"/>
              </w:rPr>
              <w:t>, L. S</w:t>
            </w:r>
            <w:r w:rsidRPr="00F902F5">
              <w:rPr>
                <w:rFonts w:ascii="Verdana" w:hAnsi="Verdana"/>
                <w:color w:val="auto"/>
              </w:rPr>
              <w:t xml:space="preserve">, </w:t>
            </w:r>
            <w:r w:rsidR="001C6B52">
              <w:rPr>
                <w:rFonts w:ascii="Verdana" w:hAnsi="Verdana"/>
                <w:color w:val="auto"/>
              </w:rPr>
              <w:t>1988</w:t>
            </w:r>
            <w:r w:rsidRPr="00F902F5">
              <w:rPr>
                <w:rFonts w:ascii="Verdana" w:hAnsi="Verdana"/>
                <w:color w:val="auto"/>
              </w:rPr>
              <w:t>, página</w:t>
            </w:r>
            <w:r w:rsidR="001C6B52">
              <w:rPr>
                <w:rFonts w:ascii="Verdana" w:hAnsi="Verdana"/>
                <w:color w:val="auto"/>
              </w:rPr>
              <w:t xml:space="preserve"> 3</w:t>
            </w:r>
            <w:r w:rsidRPr="00F902F5">
              <w:rPr>
                <w:rFonts w:ascii="Verdana" w:hAnsi="Verdana"/>
                <w:color w:val="auto"/>
              </w:rPr>
              <w:t>).</w:t>
            </w:r>
          </w:p>
        </w:tc>
        <w:tc>
          <w:tcPr>
            <w:tcW w:w="3947" w:type="dxa"/>
          </w:tcPr>
          <w:p w14:paraId="77648A57" w14:textId="4793D2E4" w:rsidR="002F5095" w:rsidRPr="00F902F5" w:rsidRDefault="001C6B52" w:rsidP="00B5420E">
            <w:pPr>
              <w:pStyle w:val="Default"/>
              <w:spacing w:line="276" w:lineRule="auto"/>
              <w:jc w:val="left"/>
              <w:rPr>
                <w:rFonts w:ascii="Verdana" w:hAnsi="Verdana"/>
                <w:color w:val="auto"/>
              </w:rPr>
            </w:pPr>
            <w:r>
              <w:rPr>
                <w:rFonts w:ascii="Verdana" w:hAnsi="Verdana"/>
                <w:color w:val="auto"/>
              </w:rPr>
              <w:t>E</w:t>
            </w:r>
            <w:r w:rsidRPr="001C6B52">
              <w:rPr>
                <w:rFonts w:ascii="Verdana" w:hAnsi="Verdana"/>
                <w:color w:val="auto"/>
              </w:rPr>
              <w:t xml:space="preserve">l aprendizaje no solo depende del desarrollo natural del estudiante, sino que puede impulsarlo. En el contexto del aprendizaje de las fracciones, implica </w:t>
            </w:r>
            <w:r w:rsidRPr="001C6B52">
              <w:rPr>
                <w:rFonts w:ascii="Verdana" w:hAnsi="Verdana"/>
                <w:color w:val="auto"/>
              </w:rPr>
              <w:t>que,</w:t>
            </w:r>
            <w:r w:rsidRPr="001C6B52">
              <w:rPr>
                <w:rFonts w:ascii="Verdana" w:hAnsi="Verdana"/>
                <w:color w:val="auto"/>
              </w:rPr>
              <w:t xml:space="preserve"> mediante estrategias didácticas activas, juegos y actividades con materiales concretos, el docente puede favorecer el avance cognitivo de los niños, ayudándolos a alcanzar niveles más altos de comprensión matemática, incluso antes de que maduren de forma espontánea.</w:t>
            </w:r>
          </w:p>
        </w:tc>
      </w:tr>
      <w:tr w:rsidR="00F902F5" w:rsidRPr="00F902F5" w14:paraId="3A5DA4BB" w14:textId="77777777" w:rsidTr="00B5420E">
        <w:trPr>
          <w:trHeight w:val="959"/>
        </w:trPr>
        <w:tc>
          <w:tcPr>
            <w:tcW w:w="2742" w:type="dxa"/>
          </w:tcPr>
          <w:p w14:paraId="631B40C8" w14:textId="77777777" w:rsidR="001C6B52" w:rsidRDefault="001C6B52" w:rsidP="00B5420E">
            <w:pPr>
              <w:pStyle w:val="Default"/>
              <w:spacing w:line="276" w:lineRule="auto"/>
              <w:jc w:val="left"/>
              <w:rPr>
                <w:rFonts w:ascii="Verdana" w:hAnsi="Verdana"/>
                <w:color w:val="auto"/>
              </w:rPr>
            </w:pPr>
            <w:r w:rsidRPr="001C6B52">
              <w:rPr>
                <w:rFonts w:ascii="Verdana" w:hAnsi="Verdana"/>
                <w:color w:val="auto"/>
              </w:rPr>
              <w:t>Pascual Rey, D. (2017). Enseñar exige respeto a los saberes de los educandos.</w:t>
            </w:r>
            <w:r w:rsidRPr="001C6B52">
              <w:rPr>
                <w:rFonts w:ascii="Verdana" w:hAnsi="Verdana"/>
                <w:color w:val="auto"/>
              </w:rPr>
              <w:t xml:space="preserve"> </w:t>
            </w:r>
          </w:p>
          <w:p w14:paraId="3E7BD95D" w14:textId="21695268" w:rsidR="002F5095" w:rsidRPr="00F902F5" w:rsidRDefault="001C6B52" w:rsidP="00B5420E">
            <w:pPr>
              <w:pStyle w:val="Default"/>
              <w:spacing w:line="276" w:lineRule="auto"/>
              <w:jc w:val="left"/>
              <w:rPr>
                <w:rFonts w:ascii="Verdana" w:hAnsi="Verdana"/>
                <w:color w:val="auto"/>
              </w:rPr>
            </w:pPr>
            <w:hyperlink r:id="rId13" w:history="1">
              <w:r w:rsidRPr="001C6B52">
                <w:rPr>
                  <w:rStyle w:val="Hipervnculo"/>
                  <w:rFonts w:ascii="Verdana" w:hAnsi="Verdana"/>
                </w:rPr>
                <w:t>Enlace web</w:t>
              </w:r>
            </w:hyperlink>
          </w:p>
        </w:tc>
        <w:tc>
          <w:tcPr>
            <w:tcW w:w="3837" w:type="dxa"/>
          </w:tcPr>
          <w:p w14:paraId="304E9A5B" w14:textId="6754958E" w:rsidR="002F5095" w:rsidRPr="00F902F5" w:rsidRDefault="002F5095" w:rsidP="001C6B52">
            <w:pPr>
              <w:pStyle w:val="Default"/>
              <w:spacing w:line="276" w:lineRule="auto"/>
              <w:rPr>
                <w:rFonts w:ascii="Verdana" w:hAnsi="Verdana"/>
                <w:color w:val="auto"/>
              </w:rPr>
            </w:pPr>
            <w:r w:rsidRPr="00F902F5">
              <w:rPr>
                <w:rFonts w:ascii="Verdana" w:hAnsi="Verdana"/>
                <w:color w:val="auto"/>
              </w:rPr>
              <w:t>“</w:t>
            </w:r>
            <w:r w:rsidR="001C6B52" w:rsidRPr="001C6B52">
              <w:rPr>
                <w:rFonts w:ascii="Verdana" w:hAnsi="Verdana"/>
                <w:color w:val="auto"/>
              </w:rPr>
              <w:t>Paulo Freire, en sus clases preparatorias, insistía en que el sistema educativo debía</w:t>
            </w:r>
            <w:r w:rsidR="001C6B52">
              <w:rPr>
                <w:rFonts w:ascii="Verdana" w:hAnsi="Verdana"/>
                <w:color w:val="auto"/>
              </w:rPr>
              <w:t xml:space="preserve"> </w:t>
            </w:r>
            <w:r w:rsidR="001C6B52" w:rsidRPr="001C6B52">
              <w:rPr>
                <w:rFonts w:ascii="Verdana" w:hAnsi="Verdana"/>
                <w:color w:val="auto"/>
              </w:rPr>
              <w:t>tener una</w:t>
            </w:r>
            <w:r w:rsidR="001C6B52">
              <w:rPr>
                <w:rFonts w:ascii="Verdana" w:hAnsi="Verdana"/>
                <w:color w:val="auto"/>
              </w:rPr>
              <w:t xml:space="preserve"> </w:t>
            </w:r>
            <w:r w:rsidR="001C6B52" w:rsidRPr="001C6B52">
              <w:rPr>
                <w:rFonts w:ascii="Verdana" w:hAnsi="Verdana"/>
                <w:color w:val="auto"/>
              </w:rPr>
              <w:t>relación estrecha entre el sistema y la realidad</w:t>
            </w:r>
            <w:r w:rsidRPr="00F902F5">
              <w:rPr>
                <w:rFonts w:ascii="Verdana" w:hAnsi="Verdana"/>
                <w:color w:val="auto"/>
              </w:rPr>
              <w:t>” (</w:t>
            </w:r>
            <w:r w:rsidR="001C6B52" w:rsidRPr="001C6B52">
              <w:rPr>
                <w:rFonts w:ascii="Verdana" w:hAnsi="Verdana"/>
                <w:color w:val="auto"/>
              </w:rPr>
              <w:t>Pascual Rey,</w:t>
            </w:r>
            <w:r w:rsidR="001C6B52">
              <w:rPr>
                <w:rFonts w:ascii="Verdana" w:hAnsi="Verdana"/>
                <w:color w:val="auto"/>
              </w:rPr>
              <w:t xml:space="preserve"> </w:t>
            </w:r>
            <w:r w:rsidR="001C6B52" w:rsidRPr="001C6B52">
              <w:rPr>
                <w:rFonts w:ascii="Verdana" w:hAnsi="Verdana"/>
                <w:color w:val="auto"/>
              </w:rPr>
              <w:t>2017</w:t>
            </w:r>
            <w:r w:rsidRPr="00F902F5">
              <w:rPr>
                <w:rFonts w:ascii="Verdana" w:hAnsi="Verdana"/>
                <w:color w:val="auto"/>
              </w:rPr>
              <w:t>, página</w:t>
            </w:r>
            <w:r w:rsidR="001C6B52">
              <w:rPr>
                <w:rFonts w:ascii="Verdana" w:hAnsi="Verdana"/>
                <w:color w:val="auto"/>
              </w:rPr>
              <w:t xml:space="preserve"> 19</w:t>
            </w:r>
            <w:r w:rsidRPr="00F902F5">
              <w:rPr>
                <w:rFonts w:ascii="Verdana" w:hAnsi="Verdana"/>
                <w:color w:val="auto"/>
              </w:rPr>
              <w:t>).</w:t>
            </w:r>
          </w:p>
        </w:tc>
        <w:tc>
          <w:tcPr>
            <w:tcW w:w="3947" w:type="dxa"/>
          </w:tcPr>
          <w:p w14:paraId="5284592B" w14:textId="055997DD" w:rsidR="002F5095" w:rsidRPr="00F902F5" w:rsidRDefault="001C6B52" w:rsidP="00B5420E">
            <w:pPr>
              <w:pStyle w:val="Default"/>
              <w:spacing w:line="276" w:lineRule="auto"/>
              <w:jc w:val="left"/>
              <w:rPr>
                <w:rFonts w:ascii="Verdana" w:hAnsi="Verdana"/>
                <w:color w:val="auto"/>
              </w:rPr>
            </w:pPr>
            <w:r>
              <w:rPr>
                <w:rFonts w:ascii="Verdana" w:hAnsi="Verdana"/>
                <w:color w:val="auto"/>
              </w:rPr>
              <w:t>I</w:t>
            </w:r>
            <w:r w:rsidRPr="001C6B52">
              <w:rPr>
                <w:rFonts w:ascii="Verdana" w:hAnsi="Verdana"/>
                <w:color w:val="auto"/>
              </w:rPr>
              <w:t>nvita a que la enseñanza de las matemáticas, en especial de las fracciones, se conecte con la realidad del entorno de los estudiantes. En un contexto rural, esto significa relacionar los contenidos con situaciones cotidianas como el reparto de alimentos, la medición de terrenos o la distribución de productos agrícolas, logrando que el aprendizaje sea significativo, contextualizado y vinculado con la vida real del estudiante.</w:t>
            </w:r>
          </w:p>
        </w:tc>
      </w:tr>
      <w:tr w:rsidR="00F902F5" w:rsidRPr="00F902F5" w14:paraId="45E3BD11" w14:textId="77777777" w:rsidTr="00B5420E">
        <w:trPr>
          <w:trHeight w:val="959"/>
        </w:trPr>
        <w:tc>
          <w:tcPr>
            <w:tcW w:w="2742" w:type="dxa"/>
          </w:tcPr>
          <w:p w14:paraId="11893032" w14:textId="77777777" w:rsidR="00F902F5" w:rsidRDefault="002F5095" w:rsidP="00B5420E">
            <w:pPr>
              <w:pStyle w:val="Default"/>
              <w:spacing w:line="276" w:lineRule="auto"/>
              <w:jc w:val="left"/>
              <w:rPr>
                <w:rFonts w:ascii="Verdana" w:hAnsi="Verdana"/>
                <w:color w:val="auto"/>
              </w:rPr>
            </w:pPr>
            <w:r w:rsidRPr="00F902F5">
              <w:rPr>
                <w:rFonts w:ascii="Verdana" w:hAnsi="Verdana"/>
                <w:color w:val="auto"/>
              </w:rPr>
              <w:t xml:space="preserve">Autor(es). (Año). </w:t>
            </w:r>
            <w:r w:rsidRPr="00F902F5">
              <w:rPr>
                <w:rFonts w:ascii="Verdana" w:hAnsi="Verdana"/>
                <w:i/>
                <w:color w:val="auto"/>
              </w:rPr>
              <w:t>Título</w:t>
            </w:r>
            <w:r w:rsidRPr="00F902F5">
              <w:rPr>
                <w:rFonts w:ascii="Verdana" w:hAnsi="Verdana"/>
                <w:color w:val="auto"/>
              </w:rPr>
              <w:t xml:space="preserve">. Ciudad, País: Editorial. </w:t>
            </w:r>
          </w:p>
          <w:p w14:paraId="3585792B" w14:textId="60F53B7F" w:rsidR="002F5095" w:rsidRPr="00F902F5" w:rsidRDefault="001C6B52" w:rsidP="00B5420E">
            <w:pPr>
              <w:pStyle w:val="Default"/>
              <w:spacing w:line="276" w:lineRule="auto"/>
              <w:jc w:val="left"/>
              <w:rPr>
                <w:rFonts w:ascii="Verdana" w:hAnsi="Verdana"/>
                <w:color w:val="auto"/>
              </w:rPr>
            </w:pPr>
            <w:r w:rsidRPr="00F902F5">
              <w:rPr>
                <w:rFonts w:ascii="Verdana" w:hAnsi="Verdana"/>
                <w:color w:val="auto"/>
              </w:rPr>
              <w:lastRenderedPageBreak/>
              <w:t>Enlace web</w:t>
            </w:r>
          </w:p>
        </w:tc>
        <w:tc>
          <w:tcPr>
            <w:tcW w:w="3837" w:type="dxa"/>
          </w:tcPr>
          <w:p w14:paraId="5C863B4A" w14:textId="77777777"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lastRenderedPageBreak/>
              <w:t>“Concepto teórico o idea tomada” (Autor, año, página).</w:t>
            </w:r>
          </w:p>
        </w:tc>
        <w:tc>
          <w:tcPr>
            <w:tcW w:w="3947" w:type="dxa"/>
          </w:tcPr>
          <w:p w14:paraId="249D6977" w14:textId="77777777"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 xml:space="preserve">Comprensión del concepto en función del problema de investigación, o explicación </w:t>
            </w:r>
            <w:r w:rsidRPr="00F902F5">
              <w:rPr>
                <w:rFonts w:ascii="Verdana" w:hAnsi="Verdana"/>
                <w:color w:val="auto"/>
              </w:rPr>
              <w:lastRenderedPageBreak/>
              <w:t>del problema a la luz del concepto teórico.</w:t>
            </w:r>
          </w:p>
        </w:tc>
      </w:tr>
      <w:tr w:rsidR="00F902F5" w:rsidRPr="00F902F5" w14:paraId="2205691D" w14:textId="77777777" w:rsidTr="00B5420E">
        <w:trPr>
          <w:trHeight w:val="959"/>
        </w:trPr>
        <w:tc>
          <w:tcPr>
            <w:tcW w:w="2742" w:type="dxa"/>
          </w:tcPr>
          <w:p w14:paraId="32EA4756" w14:textId="77777777" w:rsidR="00BC462E" w:rsidRDefault="00BC462E" w:rsidP="00B5420E">
            <w:pPr>
              <w:pStyle w:val="Default"/>
              <w:spacing w:line="276" w:lineRule="auto"/>
              <w:jc w:val="left"/>
              <w:rPr>
                <w:rFonts w:ascii="Verdana" w:hAnsi="Verdana"/>
                <w:color w:val="auto"/>
              </w:rPr>
            </w:pPr>
            <w:r w:rsidRPr="00BC462E">
              <w:rPr>
                <w:rFonts w:ascii="Verdana" w:hAnsi="Verdana"/>
                <w:color w:val="auto"/>
              </w:rPr>
              <w:lastRenderedPageBreak/>
              <w:t xml:space="preserve">Beleño, A. J. (2022). Competencias matemáticas para el desarrollo de habilidades cognitivas en estudiantes universitarios. </w:t>
            </w:r>
            <w:r w:rsidRPr="00BC462E">
              <w:rPr>
                <w:rFonts w:ascii="Verdana" w:hAnsi="Verdana"/>
                <w:i/>
                <w:iCs/>
                <w:color w:val="auto"/>
              </w:rPr>
              <w:t>Revista Latinoamericana de Difusión Científica</w:t>
            </w:r>
            <w:r w:rsidRPr="00BC462E">
              <w:rPr>
                <w:rFonts w:ascii="Verdana" w:hAnsi="Verdana"/>
                <w:color w:val="auto"/>
              </w:rPr>
              <w:t xml:space="preserve">, </w:t>
            </w:r>
            <w:r w:rsidRPr="00BC462E">
              <w:rPr>
                <w:rFonts w:ascii="Verdana" w:hAnsi="Verdana"/>
                <w:i/>
                <w:iCs/>
                <w:color w:val="auto"/>
              </w:rPr>
              <w:t>4</w:t>
            </w:r>
            <w:r w:rsidRPr="00BC462E">
              <w:rPr>
                <w:rFonts w:ascii="Verdana" w:hAnsi="Verdana"/>
                <w:color w:val="auto"/>
              </w:rPr>
              <w:t>(7), 141-167.</w:t>
            </w:r>
          </w:p>
          <w:p w14:paraId="4CD90FEA" w14:textId="208F422C" w:rsidR="002F5095" w:rsidRPr="00F902F5" w:rsidRDefault="00BC462E" w:rsidP="00B5420E">
            <w:pPr>
              <w:pStyle w:val="Default"/>
              <w:spacing w:line="276" w:lineRule="auto"/>
              <w:jc w:val="left"/>
              <w:rPr>
                <w:rFonts w:ascii="Verdana" w:hAnsi="Verdana"/>
                <w:color w:val="auto"/>
              </w:rPr>
            </w:pPr>
            <w:hyperlink r:id="rId14" w:history="1">
              <w:r w:rsidR="002F5095" w:rsidRPr="00BC462E">
                <w:rPr>
                  <w:rStyle w:val="Hipervnculo"/>
                  <w:rFonts w:ascii="Verdana" w:hAnsi="Verdana"/>
                </w:rPr>
                <w:t>Enlace web</w:t>
              </w:r>
            </w:hyperlink>
          </w:p>
        </w:tc>
        <w:tc>
          <w:tcPr>
            <w:tcW w:w="3837" w:type="dxa"/>
          </w:tcPr>
          <w:p w14:paraId="3E445C93" w14:textId="54C49746"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w:t>
            </w:r>
            <w:r w:rsidR="00BC462E" w:rsidRPr="00BC462E">
              <w:rPr>
                <w:rFonts w:ascii="Verdana" w:hAnsi="Verdana"/>
                <w:color w:val="auto"/>
              </w:rPr>
              <w:t>El dominio e implementación de las competencias matemáticas en los estudiantes universitarios, es fundamental pues potencia la capacidad de análisis, el razonamiento, así como la habilidad para sintetizar y aplicar el conocimiento.</w:t>
            </w:r>
            <w:r w:rsidRPr="00F902F5">
              <w:rPr>
                <w:rFonts w:ascii="Verdana" w:hAnsi="Verdana"/>
                <w:color w:val="auto"/>
              </w:rPr>
              <w:t>” (</w:t>
            </w:r>
            <w:r w:rsidR="00BC462E" w:rsidRPr="00BC462E">
              <w:rPr>
                <w:rFonts w:ascii="Verdana" w:hAnsi="Verdana"/>
                <w:color w:val="auto"/>
              </w:rPr>
              <w:t>Beleño</w:t>
            </w:r>
            <w:r w:rsidRPr="00F902F5">
              <w:rPr>
                <w:rFonts w:ascii="Verdana" w:hAnsi="Verdana"/>
                <w:color w:val="auto"/>
              </w:rPr>
              <w:t xml:space="preserve">, </w:t>
            </w:r>
            <w:r w:rsidR="00BC462E">
              <w:rPr>
                <w:rFonts w:ascii="Verdana" w:hAnsi="Verdana"/>
                <w:color w:val="auto"/>
              </w:rPr>
              <w:t>2022</w:t>
            </w:r>
            <w:r w:rsidRPr="00F902F5">
              <w:rPr>
                <w:rFonts w:ascii="Verdana" w:hAnsi="Verdana"/>
                <w:color w:val="auto"/>
              </w:rPr>
              <w:t>, página</w:t>
            </w:r>
            <w:r w:rsidR="00BC462E">
              <w:rPr>
                <w:rFonts w:ascii="Verdana" w:hAnsi="Verdana"/>
                <w:color w:val="auto"/>
              </w:rPr>
              <w:t xml:space="preserve"> 143</w:t>
            </w:r>
            <w:r w:rsidRPr="00F902F5">
              <w:rPr>
                <w:rFonts w:ascii="Verdana" w:hAnsi="Verdana"/>
                <w:color w:val="auto"/>
              </w:rPr>
              <w:t>).</w:t>
            </w:r>
          </w:p>
        </w:tc>
        <w:tc>
          <w:tcPr>
            <w:tcW w:w="3947" w:type="dxa"/>
          </w:tcPr>
          <w:p w14:paraId="5FA041B3" w14:textId="60DF4E3E" w:rsidR="002F5095" w:rsidRPr="00F902F5" w:rsidRDefault="00BC462E" w:rsidP="00B5420E">
            <w:pPr>
              <w:pStyle w:val="Default"/>
              <w:spacing w:line="276" w:lineRule="auto"/>
              <w:jc w:val="left"/>
              <w:rPr>
                <w:rFonts w:ascii="Verdana" w:hAnsi="Verdana"/>
                <w:color w:val="auto"/>
              </w:rPr>
            </w:pPr>
            <w:r w:rsidRPr="00BC462E">
              <w:rPr>
                <w:rFonts w:ascii="Verdana" w:hAnsi="Verdana"/>
                <w:color w:val="auto"/>
              </w:rPr>
              <w:t>Aunque esta idea se refiere a estudiantes universitarios, también aplica a la educación básica, ya que el desarrollo de competencias matemáticas desde edades tempranas fortalece el razonamiento lógico y la capacidad de aplicar el conocimiento en contextos reales. En el caso del aprendizaje de las fracciones en cuarto grado, trabajar estas competencias permite que los niños no solo memoricen procedimientos, sino que comprendan y utilicen las fracciones para resolver problemas cotidianos con sentido y autonomía.</w:t>
            </w:r>
          </w:p>
        </w:tc>
      </w:tr>
      <w:tr w:rsidR="00F902F5" w:rsidRPr="00F902F5" w14:paraId="3FF75B84" w14:textId="77777777" w:rsidTr="00B5420E">
        <w:trPr>
          <w:trHeight w:val="959"/>
        </w:trPr>
        <w:tc>
          <w:tcPr>
            <w:tcW w:w="2742" w:type="dxa"/>
          </w:tcPr>
          <w:p w14:paraId="449E4564" w14:textId="1A5D44A8" w:rsidR="002F5095" w:rsidRPr="00F902F5" w:rsidRDefault="0014785D" w:rsidP="00B5420E">
            <w:pPr>
              <w:pStyle w:val="Default"/>
              <w:spacing w:line="276" w:lineRule="auto"/>
              <w:jc w:val="left"/>
              <w:rPr>
                <w:rFonts w:ascii="Verdana" w:hAnsi="Verdana"/>
                <w:color w:val="auto"/>
              </w:rPr>
            </w:pPr>
            <w:r w:rsidRPr="0014785D">
              <w:rPr>
                <w:rFonts w:ascii="Verdana" w:hAnsi="Verdana"/>
                <w:color w:val="auto"/>
              </w:rPr>
              <w:t xml:space="preserve">García </w:t>
            </w:r>
            <w:proofErr w:type="spellStart"/>
            <w:r w:rsidRPr="0014785D">
              <w:rPr>
                <w:rFonts w:ascii="Verdana" w:hAnsi="Verdana"/>
                <w:color w:val="auto"/>
              </w:rPr>
              <w:t>García</w:t>
            </w:r>
            <w:proofErr w:type="spellEnd"/>
            <w:r w:rsidRPr="0014785D">
              <w:rPr>
                <w:rFonts w:ascii="Verdana" w:hAnsi="Verdana"/>
                <w:color w:val="auto"/>
              </w:rPr>
              <w:t>, E. (2009). Aprendizaje y construcción del conocimiento</w:t>
            </w:r>
            <w:r w:rsidR="002F5095" w:rsidRPr="00F902F5">
              <w:rPr>
                <w:rFonts w:ascii="Verdana" w:hAnsi="Verdana"/>
                <w:color w:val="auto"/>
              </w:rPr>
              <w:t xml:space="preserve">. </w:t>
            </w:r>
            <w:r w:rsidRPr="0014785D">
              <w:rPr>
                <w:rFonts w:ascii="Verdana" w:hAnsi="Verdana"/>
                <w:color w:val="auto"/>
              </w:rPr>
              <w:t>Biblioteca Nueva</w:t>
            </w:r>
            <w:r>
              <w:rPr>
                <w:rFonts w:ascii="Verdana" w:hAnsi="Verdana"/>
                <w:color w:val="auto"/>
              </w:rPr>
              <w:t>.</w:t>
            </w:r>
          </w:p>
          <w:p w14:paraId="06D8EE97" w14:textId="74735E1C" w:rsidR="002F5095" w:rsidRPr="00F902F5" w:rsidRDefault="00BC462E" w:rsidP="00B5420E">
            <w:pPr>
              <w:pStyle w:val="Default"/>
              <w:spacing w:line="276" w:lineRule="auto"/>
              <w:jc w:val="left"/>
              <w:rPr>
                <w:rFonts w:ascii="Verdana" w:hAnsi="Verdana"/>
                <w:color w:val="auto"/>
              </w:rPr>
            </w:pPr>
            <w:hyperlink r:id="rId15" w:history="1">
              <w:r w:rsidR="002F5095" w:rsidRPr="00BC462E">
                <w:rPr>
                  <w:rStyle w:val="Hipervnculo"/>
                  <w:rFonts w:ascii="Verdana" w:hAnsi="Verdana"/>
                </w:rPr>
                <w:t>Enlace web</w:t>
              </w:r>
            </w:hyperlink>
            <w:r w:rsidR="002F5095" w:rsidRPr="00F902F5">
              <w:rPr>
                <w:rFonts w:ascii="Verdana" w:hAnsi="Verdana"/>
                <w:color w:val="auto"/>
              </w:rPr>
              <w:t xml:space="preserve"> </w:t>
            </w:r>
          </w:p>
        </w:tc>
        <w:tc>
          <w:tcPr>
            <w:tcW w:w="3837" w:type="dxa"/>
          </w:tcPr>
          <w:p w14:paraId="4B45C17D" w14:textId="4CFCCC20"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w:t>
            </w:r>
            <w:r w:rsidR="00BC462E" w:rsidRPr="00BC462E">
              <w:rPr>
                <w:rFonts w:ascii="Verdana" w:hAnsi="Verdana"/>
                <w:color w:val="auto"/>
              </w:rPr>
              <w:t xml:space="preserve">El </w:t>
            </w:r>
            <w:proofErr w:type="spellStart"/>
            <w:r w:rsidR="00BC462E" w:rsidRPr="00BC462E">
              <w:rPr>
                <w:rFonts w:ascii="Verdana" w:hAnsi="Verdana"/>
                <w:color w:val="auto"/>
              </w:rPr>
              <w:t>curriculum</w:t>
            </w:r>
            <w:proofErr w:type="spellEnd"/>
            <w:r w:rsidR="00BC462E" w:rsidRPr="00BC462E">
              <w:rPr>
                <w:rFonts w:ascii="Verdana" w:hAnsi="Verdana"/>
                <w:color w:val="auto"/>
              </w:rPr>
              <w:t xml:space="preserve"> escolar ha puesto tradicionalmente énfasis, cuando no exclusividad, en transmitir conocimientos, prestando menos atención a los procedimientos, las prácticas, los modos de hacer.</w:t>
            </w:r>
            <w:r w:rsidRPr="00F902F5">
              <w:rPr>
                <w:rFonts w:ascii="Verdana" w:hAnsi="Verdana"/>
                <w:color w:val="auto"/>
              </w:rPr>
              <w:t>” (</w:t>
            </w:r>
            <w:r w:rsidR="0014785D" w:rsidRPr="0014785D">
              <w:rPr>
                <w:rFonts w:ascii="Verdana" w:hAnsi="Verdana"/>
                <w:color w:val="auto"/>
              </w:rPr>
              <w:t xml:space="preserve">García </w:t>
            </w:r>
            <w:proofErr w:type="spellStart"/>
            <w:r w:rsidR="0014785D" w:rsidRPr="0014785D">
              <w:rPr>
                <w:rFonts w:ascii="Verdana" w:hAnsi="Verdana"/>
                <w:color w:val="auto"/>
              </w:rPr>
              <w:t>García</w:t>
            </w:r>
            <w:proofErr w:type="spellEnd"/>
            <w:r w:rsidR="0014785D" w:rsidRPr="0014785D">
              <w:rPr>
                <w:rFonts w:ascii="Verdana" w:hAnsi="Verdana"/>
                <w:color w:val="auto"/>
              </w:rPr>
              <w:t xml:space="preserve">, </w:t>
            </w:r>
            <w:r w:rsidR="0014785D">
              <w:rPr>
                <w:rFonts w:ascii="Verdana" w:hAnsi="Verdana"/>
                <w:color w:val="auto"/>
              </w:rPr>
              <w:t xml:space="preserve">Emilio, </w:t>
            </w:r>
            <w:r w:rsidR="0014785D" w:rsidRPr="0014785D">
              <w:rPr>
                <w:rFonts w:ascii="Verdana" w:hAnsi="Verdana"/>
                <w:color w:val="auto"/>
              </w:rPr>
              <w:t>2009</w:t>
            </w:r>
            <w:r w:rsidRPr="00F902F5">
              <w:rPr>
                <w:rFonts w:ascii="Verdana" w:hAnsi="Verdana"/>
                <w:color w:val="auto"/>
              </w:rPr>
              <w:t>, página</w:t>
            </w:r>
            <w:r w:rsidR="0014785D">
              <w:rPr>
                <w:rFonts w:ascii="Verdana" w:hAnsi="Verdana"/>
                <w:color w:val="auto"/>
              </w:rPr>
              <w:t xml:space="preserve"> 4</w:t>
            </w:r>
            <w:r w:rsidRPr="00F902F5">
              <w:rPr>
                <w:rFonts w:ascii="Verdana" w:hAnsi="Verdana"/>
                <w:color w:val="auto"/>
              </w:rPr>
              <w:t>).</w:t>
            </w:r>
          </w:p>
        </w:tc>
        <w:tc>
          <w:tcPr>
            <w:tcW w:w="3947" w:type="dxa"/>
          </w:tcPr>
          <w:p w14:paraId="4E1CBFD0" w14:textId="359DDA91" w:rsidR="002F5095" w:rsidRPr="00F902F5" w:rsidRDefault="0014785D" w:rsidP="00B5420E">
            <w:pPr>
              <w:pStyle w:val="Default"/>
              <w:spacing w:line="276" w:lineRule="auto"/>
              <w:jc w:val="left"/>
              <w:rPr>
                <w:rFonts w:ascii="Verdana" w:hAnsi="Verdana"/>
                <w:color w:val="auto"/>
              </w:rPr>
            </w:pPr>
            <w:r w:rsidRPr="0014785D">
              <w:rPr>
                <w:rFonts w:ascii="Verdana" w:hAnsi="Verdana"/>
                <w:color w:val="auto"/>
              </w:rPr>
              <w:t xml:space="preserve">Este planteamiento evidencia una de las causas del bajo desempeño en matemáticas: la enseñanza centrada solo en la transmisión de conocimientos teóricos. En el caso de las fracciones, esto se traduce en que los estudiantes aprenden a repetir operaciones sin comprender su significado. Por ello, es necesario implementar estrategias didácticas activas que prioricen la experimentación, la práctica y la aplicación de </w:t>
            </w:r>
            <w:r w:rsidRPr="0014785D">
              <w:rPr>
                <w:rFonts w:ascii="Verdana" w:hAnsi="Verdana"/>
                <w:color w:val="auto"/>
              </w:rPr>
              <w:lastRenderedPageBreak/>
              <w:t>los conocimientos a situaciones reales, promoviendo un aprendizaje más profundo y duradero.</w:t>
            </w:r>
          </w:p>
        </w:tc>
      </w:tr>
      <w:tr w:rsidR="00F902F5" w:rsidRPr="00F902F5" w14:paraId="58A14852" w14:textId="77777777" w:rsidTr="00B5420E">
        <w:trPr>
          <w:trHeight w:val="959"/>
        </w:trPr>
        <w:tc>
          <w:tcPr>
            <w:tcW w:w="2742" w:type="dxa"/>
          </w:tcPr>
          <w:p w14:paraId="6291F939" w14:textId="77777777" w:rsidR="00F942EA" w:rsidRDefault="00F942EA" w:rsidP="00B5420E">
            <w:pPr>
              <w:pStyle w:val="Default"/>
              <w:spacing w:line="276" w:lineRule="auto"/>
              <w:jc w:val="left"/>
              <w:rPr>
                <w:rFonts w:ascii="Verdana" w:hAnsi="Verdana"/>
                <w:color w:val="auto"/>
              </w:rPr>
            </w:pPr>
            <w:r w:rsidRPr="00F942EA">
              <w:rPr>
                <w:rFonts w:ascii="Verdana" w:hAnsi="Verdana"/>
                <w:color w:val="auto"/>
              </w:rPr>
              <w:lastRenderedPageBreak/>
              <w:t>Movilla Palomino, L. P. (2024). Desarrollo de una secuencia didáctica para la comprensión de números racionales en estudiantes de séptimo grado utilizando investigación basada en diseño</w:t>
            </w:r>
            <w:r w:rsidR="002F5095" w:rsidRPr="00F902F5">
              <w:rPr>
                <w:rFonts w:ascii="Verdana" w:hAnsi="Verdana"/>
                <w:color w:val="auto"/>
              </w:rPr>
              <w:t>.</w:t>
            </w:r>
          </w:p>
          <w:p w14:paraId="0F7E9F56" w14:textId="05856580" w:rsidR="002F5095" w:rsidRPr="00F902F5" w:rsidRDefault="00F942EA" w:rsidP="00B5420E">
            <w:pPr>
              <w:pStyle w:val="Default"/>
              <w:spacing w:line="276" w:lineRule="auto"/>
              <w:jc w:val="left"/>
              <w:rPr>
                <w:rFonts w:ascii="Verdana" w:hAnsi="Verdana"/>
                <w:color w:val="auto"/>
              </w:rPr>
            </w:pPr>
            <w:hyperlink r:id="rId16" w:history="1">
              <w:r w:rsidR="002F5095" w:rsidRPr="00F942EA">
                <w:rPr>
                  <w:rStyle w:val="Hipervnculo"/>
                  <w:rFonts w:ascii="Verdana" w:hAnsi="Verdana"/>
                </w:rPr>
                <w:t>Enlace web</w:t>
              </w:r>
            </w:hyperlink>
          </w:p>
        </w:tc>
        <w:tc>
          <w:tcPr>
            <w:tcW w:w="3837" w:type="dxa"/>
          </w:tcPr>
          <w:p w14:paraId="07B36B8E" w14:textId="36CFEC09"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w:t>
            </w:r>
            <w:r w:rsidR="00F942EA" w:rsidRPr="00F942EA">
              <w:rPr>
                <w:rFonts w:ascii="Verdana" w:hAnsi="Verdana"/>
                <w:color w:val="auto"/>
              </w:rPr>
              <w:t>La escritura en forma de fracción tiene sus raíces en las conexiones entre matemáticas y geometría.</w:t>
            </w:r>
            <w:r w:rsidRPr="00F902F5">
              <w:rPr>
                <w:rFonts w:ascii="Verdana" w:hAnsi="Verdana"/>
                <w:color w:val="auto"/>
              </w:rPr>
              <w:t>” (</w:t>
            </w:r>
            <w:r w:rsidR="00F942EA" w:rsidRPr="00F942EA">
              <w:rPr>
                <w:rFonts w:ascii="Verdana" w:hAnsi="Verdana"/>
                <w:color w:val="auto"/>
              </w:rPr>
              <w:t xml:space="preserve">Movilla Palomino, </w:t>
            </w:r>
            <w:proofErr w:type="spellStart"/>
            <w:r w:rsidR="00F942EA" w:rsidRPr="00F942EA">
              <w:rPr>
                <w:rFonts w:ascii="Verdana" w:hAnsi="Verdana"/>
                <w:color w:val="auto"/>
              </w:rPr>
              <w:t>Ludys</w:t>
            </w:r>
            <w:proofErr w:type="spellEnd"/>
            <w:r w:rsidR="00F942EA" w:rsidRPr="00F942EA">
              <w:rPr>
                <w:rFonts w:ascii="Verdana" w:hAnsi="Verdana"/>
                <w:color w:val="auto"/>
              </w:rPr>
              <w:t xml:space="preserve"> Patricia</w:t>
            </w:r>
            <w:r w:rsidRPr="00F902F5">
              <w:rPr>
                <w:rFonts w:ascii="Verdana" w:hAnsi="Verdana"/>
                <w:color w:val="auto"/>
              </w:rPr>
              <w:t xml:space="preserve">, </w:t>
            </w:r>
            <w:r w:rsidR="00F942EA">
              <w:rPr>
                <w:rFonts w:ascii="Verdana" w:hAnsi="Verdana"/>
                <w:color w:val="auto"/>
              </w:rPr>
              <w:t>2024</w:t>
            </w:r>
            <w:r w:rsidRPr="00F902F5">
              <w:rPr>
                <w:rFonts w:ascii="Verdana" w:hAnsi="Verdana"/>
                <w:color w:val="auto"/>
              </w:rPr>
              <w:t>, página</w:t>
            </w:r>
            <w:r w:rsidR="00F942EA">
              <w:rPr>
                <w:rFonts w:ascii="Verdana" w:hAnsi="Verdana"/>
                <w:color w:val="auto"/>
              </w:rPr>
              <w:t xml:space="preserve"> 31</w:t>
            </w:r>
            <w:r w:rsidRPr="00F902F5">
              <w:rPr>
                <w:rFonts w:ascii="Verdana" w:hAnsi="Verdana"/>
                <w:color w:val="auto"/>
              </w:rPr>
              <w:t>).</w:t>
            </w:r>
          </w:p>
        </w:tc>
        <w:tc>
          <w:tcPr>
            <w:tcW w:w="3947" w:type="dxa"/>
          </w:tcPr>
          <w:p w14:paraId="0931DABD" w14:textId="22501028" w:rsidR="002F5095" w:rsidRPr="00F902F5" w:rsidRDefault="00F942EA" w:rsidP="00B5420E">
            <w:pPr>
              <w:pStyle w:val="Default"/>
              <w:spacing w:line="276" w:lineRule="auto"/>
              <w:jc w:val="left"/>
              <w:rPr>
                <w:rFonts w:ascii="Verdana" w:hAnsi="Verdana"/>
                <w:color w:val="auto"/>
              </w:rPr>
            </w:pPr>
            <w:r w:rsidRPr="00F942EA">
              <w:rPr>
                <w:rFonts w:ascii="Verdana" w:hAnsi="Verdana"/>
                <w:color w:val="auto"/>
              </w:rPr>
              <w:t>Esta afirmación permite comprender que el aprendizaje de las fracciones debe vincular representaciones numéricas y geométricas. En el contexto educativo, relacionar las fracciones con figuras, particiones y medidas concretas ayuda a los estudiantes a visualizar la relación parte-todo, fortaleciendo su comprensión conceptual y facilitando el paso de lo concreto a lo simbólico en el aprendizaje de las operaciones con fracciones.</w:t>
            </w:r>
          </w:p>
        </w:tc>
      </w:tr>
      <w:tr w:rsidR="00F902F5" w:rsidRPr="00F902F5" w14:paraId="4F1EEFF9" w14:textId="77777777" w:rsidTr="00B5420E">
        <w:trPr>
          <w:trHeight w:val="959"/>
        </w:trPr>
        <w:tc>
          <w:tcPr>
            <w:tcW w:w="2742" w:type="dxa"/>
          </w:tcPr>
          <w:p w14:paraId="75E0862B" w14:textId="77777777" w:rsidR="006D4383" w:rsidRDefault="006D4383" w:rsidP="00B5420E">
            <w:pPr>
              <w:pStyle w:val="Default"/>
              <w:spacing w:line="276" w:lineRule="auto"/>
              <w:jc w:val="left"/>
              <w:rPr>
                <w:rFonts w:ascii="Verdana" w:hAnsi="Verdana"/>
                <w:color w:val="auto"/>
              </w:rPr>
            </w:pPr>
            <w:r w:rsidRPr="006D4383">
              <w:rPr>
                <w:rFonts w:ascii="Verdana" w:hAnsi="Verdana"/>
                <w:color w:val="auto"/>
              </w:rPr>
              <w:t xml:space="preserve">Ríos, A. C. (2006). </w:t>
            </w:r>
            <w:proofErr w:type="spellStart"/>
            <w:r w:rsidRPr="006D4383">
              <w:rPr>
                <w:rFonts w:ascii="Verdana" w:hAnsi="Verdana"/>
                <w:color w:val="auto"/>
              </w:rPr>
              <w:t>Socioepistemología</w:t>
            </w:r>
            <w:proofErr w:type="spellEnd"/>
            <w:r w:rsidRPr="006D4383">
              <w:rPr>
                <w:rFonts w:ascii="Verdana" w:hAnsi="Verdana"/>
                <w:color w:val="auto"/>
              </w:rPr>
              <w:t xml:space="preserve"> y prácticas sociales. Educación matemática, 18(1), 133-160.</w:t>
            </w:r>
          </w:p>
          <w:p w14:paraId="3E604C74" w14:textId="401A5AAA" w:rsidR="002F5095" w:rsidRPr="00F902F5" w:rsidRDefault="00EC54C8" w:rsidP="00B5420E">
            <w:pPr>
              <w:pStyle w:val="Default"/>
              <w:spacing w:line="276" w:lineRule="auto"/>
              <w:jc w:val="left"/>
              <w:rPr>
                <w:rFonts w:ascii="Verdana" w:hAnsi="Verdana"/>
                <w:color w:val="auto"/>
              </w:rPr>
            </w:pPr>
            <w:hyperlink r:id="rId17" w:history="1">
              <w:r w:rsidR="002F5095" w:rsidRPr="00EC54C8">
                <w:rPr>
                  <w:rStyle w:val="Hipervnculo"/>
                  <w:rFonts w:ascii="Verdana" w:hAnsi="Verdana"/>
                </w:rPr>
                <w:t>Enlace web</w:t>
              </w:r>
            </w:hyperlink>
          </w:p>
        </w:tc>
        <w:tc>
          <w:tcPr>
            <w:tcW w:w="3837" w:type="dxa"/>
          </w:tcPr>
          <w:p w14:paraId="7DFC867B" w14:textId="77777777" w:rsidR="006D4383" w:rsidRPr="006D4383" w:rsidRDefault="002F5095" w:rsidP="006D4383">
            <w:pPr>
              <w:pStyle w:val="Default"/>
              <w:spacing w:line="276" w:lineRule="auto"/>
              <w:rPr>
                <w:rFonts w:ascii="Verdana" w:hAnsi="Verdana"/>
                <w:color w:val="auto"/>
              </w:rPr>
            </w:pPr>
            <w:r w:rsidRPr="00F902F5">
              <w:rPr>
                <w:rFonts w:ascii="Verdana" w:hAnsi="Verdana"/>
                <w:color w:val="auto"/>
              </w:rPr>
              <w:t>“</w:t>
            </w:r>
            <w:r w:rsidR="006D4383" w:rsidRPr="006D4383">
              <w:rPr>
                <w:rFonts w:ascii="Verdana" w:hAnsi="Verdana"/>
                <w:color w:val="auto"/>
              </w:rPr>
              <w:t>La puesta en interacción entre la lógica de los conceptos y el dominio del fenómeno facilita en los estudiantes un buen número de habilidades, como son:</w:t>
            </w:r>
          </w:p>
          <w:p w14:paraId="0F61CFBE" w14:textId="131B7CD2" w:rsidR="002F5095" w:rsidRPr="00F902F5" w:rsidRDefault="006D4383" w:rsidP="006D4383">
            <w:pPr>
              <w:pStyle w:val="Default"/>
              <w:spacing w:line="276" w:lineRule="auto"/>
              <w:rPr>
                <w:rFonts w:ascii="Verdana" w:hAnsi="Verdana"/>
                <w:color w:val="auto"/>
              </w:rPr>
            </w:pPr>
            <w:r w:rsidRPr="006D4383">
              <w:rPr>
                <w:rFonts w:ascii="Verdana" w:hAnsi="Verdana"/>
                <w:color w:val="auto"/>
              </w:rPr>
              <w:t>esquematizar, formular y visualizar un problema de diferentes maneras, descubrir</w:t>
            </w:r>
            <w:r>
              <w:rPr>
                <w:rFonts w:ascii="Verdana" w:hAnsi="Verdana"/>
                <w:color w:val="auto"/>
              </w:rPr>
              <w:t xml:space="preserve"> </w:t>
            </w:r>
            <w:r w:rsidRPr="006D4383">
              <w:rPr>
                <w:rFonts w:ascii="Verdana" w:hAnsi="Verdana"/>
                <w:color w:val="auto"/>
              </w:rPr>
              <w:t xml:space="preserve">relaciones y regularidades, reconocer aspectos isomorfos, descripciones y predicciones hacia el propio fenómeno, así como nuevas facetas e interacciones del </w:t>
            </w:r>
            <w:r w:rsidRPr="006D4383">
              <w:rPr>
                <w:rFonts w:ascii="Verdana" w:hAnsi="Verdana"/>
                <w:color w:val="auto"/>
              </w:rPr>
              <w:lastRenderedPageBreak/>
              <w:t>conocimiento que son puestas en correspondencia entre la perspectiva teórica y</w:t>
            </w:r>
            <w:r>
              <w:rPr>
                <w:rFonts w:ascii="Verdana" w:hAnsi="Verdana"/>
                <w:color w:val="auto"/>
              </w:rPr>
              <w:t xml:space="preserve"> </w:t>
            </w:r>
            <w:r w:rsidRPr="006D4383">
              <w:rPr>
                <w:rFonts w:ascii="Verdana" w:hAnsi="Verdana"/>
                <w:color w:val="auto"/>
              </w:rPr>
              <w:t>el</w:t>
            </w:r>
            <w:r>
              <w:rPr>
                <w:rFonts w:ascii="Verdana" w:hAnsi="Verdana"/>
                <w:color w:val="auto"/>
              </w:rPr>
              <w:t xml:space="preserve"> </w:t>
            </w:r>
            <w:r w:rsidRPr="006D4383">
              <w:rPr>
                <w:rFonts w:ascii="Verdana" w:hAnsi="Verdana"/>
                <w:color w:val="auto"/>
              </w:rPr>
              <w:t>hecho experimental.</w:t>
            </w:r>
            <w:r w:rsidR="002F5095" w:rsidRPr="00F902F5">
              <w:rPr>
                <w:rFonts w:ascii="Verdana" w:hAnsi="Verdana"/>
                <w:color w:val="auto"/>
              </w:rPr>
              <w:t>” (</w:t>
            </w:r>
            <w:r w:rsidR="00EC54C8" w:rsidRPr="00EC54C8">
              <w:rPr>
                <w:rFonts w:ascii="Verdana" w:hAnsi="Verdana"/>
                <w:color w:val="auto"/>
              </w:rPr>
              <w:t>Camacho Ríos, Alberto</w:t>
            </w:r>
            <w:r w:rsidR="002F5095" w:rsidRPr="00F902F5">
              <w:rPr>
                <w:rFonts w:ascii="Verdana" w:hAnsi="Verdana"/>
                <w:color w:val="auto"/>
              </w:rPr>
              <w:t xml:space="preserve">, </w:t>
            </w:r>
            <w:r w:rsidR="00EC54C8">
              <w:rPr>
                <w:rFonts w:ascii="Verdana" w:hAnsi="Verdana"/>
                <w:color w:val="auto"/>
              </w:rPr>
              <w:t>2006</w:t>
            </w:r>
            <w:r w:rsidR="002F5095" w:rsidRPr="00F902F5">
              <w:rPr>
                <w:rFonts w:ascii="Verdana" w:hAnsi="Verdana"/>
                <w:color w:val="auto"/>
              </w:rPr>
              <w:t>, página</w:t>
            </w:r>
            <w:r w:rsidR="00EC54C8">
              <w:rPr>
                <w:rFonts w:ascii="Verdana" w:hAnsi="Verdana"/>
                <w:color w:val="auto"/>
              </w:rPr>
              <w:t xml:space="preserve"> 150</w:t>
            </w:r>
            <w:r w:rsidR="002F5095" w:rsidRPr="00F902F5">
              <w:rPr>
                <w:rFonts w:ascii="Verdana" w:hAnsi="Verdana"/>
                <w:color w:val="auto"/>
              </w:rPr>
              <w:t>).</w:t>
            </w:r>
          </w:p>
        </w:tc>
        <w:tc>
          <w:tcPr>
            <w:tcW w:w="3947" w:type="dxa"/>
          </w:tcPr>
          <w:p w14:paraId="366B5815" w14:textId="3099118E" w:rsidR="002F5095" w:rsidRPr="00F902F5" w:rsidRDefault="006D4383" w:rsidP="00B5420E">
            <w:pPr>
              <w:pStyle w:val="Default"/>
              <w:spacing w:line="276" w:lineRule="auto"/>
              <w:jc w:val="left"/>
              <w:rPr>
                <w:rFonts w:ascii="Verdana" w:hAnsi="Verdana"/>
                <w:color w:val="auto"/>
              </w:rPr>
            </w:pPr>
            <w:r w:rsidRPr="006D4383">
              <w:rPr>
                <w:rFonts w:ascii="Verdana" w:hAnsi="Verdana"/>
                <w:color w:val="auto"/>
              </w:rPr>
              <w:lastRenderedPageBreak/>
              <w:t xml:space="preserve">Esta idea destaca la importancia de conectar la teoría con la práctica en el proceso de aprendizaje. En la enseñanza de las fracciones, implica que los estudiantes deben no solo conocer los conceptos matemáticos, sino también aplicarlos a fenómenos reales —como repartos o medidas— para desarrollar habilidades de análisis, representación y resolución de problemas. Al relacionar la lógica matemática con experiencias </w:t>
            </w:r>
            <w:r w:rsidRPr="006D4383">
              <w:rPr>
                <w:rFonts w:ascii="Verdana" w:hAnsi="Verdana"/>
                <w:color w:val="auto"/>
              </w:rPr>
              <w:lastRenderedPageBreak/>
              <w:t>concretas, los niños logran una comprensión más profunda y flexible del conocimiento.</w:t>
            </w:r>
          </w:p>
        </w:tc>
      </w:tr>
      <w:tr w:rsidR="00F902F5" w:rsidRPr="00F902F5" w14:paraId="2CA77659" w14:textId="77777777" w:rsidTr="00B5420E">
        <w:trPr>
          <w:trHeight w:val="959"/>
        </w:trPr>
        <w:tc>
          <w:tcPr>
            <w:tcW w:w="2742" w:type="dxa"/>
          </w:tcPr>
          <w:p w14:paraId="7B3A14FE" w14:textId="77777777" w:rsidR="001901BD" w:rsidRDefault="001901BD" w:rsidP="00B5420E">
            <w:pPr>
              <w:pStyle w:val="Default"/>
              <w:spacing w:line="276" w:lineRule="auto"/>
              <w:jc w:val="left"/>
              <w:rPr>
                <w:rFonts w:ascii="Verdana" w:hAnsi="Verdana"/>
                <w:color w:val="auto"/>
              </w:rPr>
            </w:pPr>
            <w:r w:rsidRPr="001901BD">
              <w:rPr>
                <w:rFonts w:ascii="Verdana" w:hAnsi="Verdana"/>
                <w:color w:val="auto"/>
              </w:rPr>
              <w:t xml:space="preserve">Urrea Arango, E. M. Una secuencia multirregistro de aprendizaje, para la comprensión de los Racionales en su significado parte-todo, involucrando los registros numérico mixto y figural unidimensional (Doctoral </w:t>
            </w:r>
            <w:proofErr w:type="spellStart"/>
            <w:r w:rsidRPr="001901BD">
              <w:rPr>
                <w:rFonts w:ascii="Verdana" w:hAnsi="Verdana"/>
                <w:color w:val="auto"/>
              </w:rPr>
              <w:t>dissertation</w:t>
            </w:r>
            <w:proofErr w:type="spellEnd"/>
            <w:r w:rsidRPr="001901BD">
              <w:rPr>
                <w:rFonts w:ascii="Verdana" w:hAnsi="Verdana"/>
                <w:color w:val="auto"/>
              </w:rPr>
              <w:t>, Palmira-Ingeniería y Administración-Maestría en Enseñanza de las Ciencias Exactas y Naturales).</w:t>
            </w:r>
            <w:r w:rsidRPr="001901BD">
              <w:rPr>
                <w:rFonts w:ascii="Verdana" w:hAnsi="Verdana"/>
                <w:color w:val="auto"/>
              </w:rPr>
              <w:t xml:space="preserve"> </w:t>
            </w:r>
          </w:p>
          <w:p w14:paraId="38DF1507" w14:textId="63851254" w:rsidR="002F5095" w:rsidRPr="00F902F5" w:rsidRDefault="001901BD" w:rsidP="00B5420E">
            <w:pPr>
              <w:pStyle w:val="Default"/>
              <w:spacing w:line="276" w:lineRule="auto"/>
              <w:jc w:val="left"/>
              <w:rPr>
                <w:rFonts w:ascii="Verdana" w:hAnsi="Verdana"/>
                <w:color w:val="auto"/>
              </w:rPr>
            </w:pPr>
            <w:hyperlink r:id="rId18" w:history="1">
              <w:r w:rsidR="002F5095" w:rsidRPr="001901BD">
                <w:rPr>
                  <w:rStyle w:val="Hipervnculo"/>
                  <w:rFonts w:ascii="Verdana" w:hAnsi="Verdana"/>
                </w:rPr>
                <w:t>Enlace web</w:t>
              </w:r>
            </w:hyperlink>
            <w:r w:rsidR="002F5095" w:rsidRPr="00F902F5">
              <w:rPr>
                <w:rFonts w:ascii="Verdana" w:hAnsi="Verdana"/>
                <w:color w:val="auto"/>
              </w:rPr>
              <w:t xml:space="preserve"> </w:t>
            </w:r>
          </w:p>
        </w:tc>
        <w:tc>
          <w:tcPr>
            <w:tcW w:w="3837" w:type="dxa"/>
          </w:tcPr>
          <w:p w14:paraId="61367CBE" w14:textId="29E14410"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w:t>
            </w:r>
            <w:r w:rsidR="001901BD" w:rsidRPr="001901BD">
              <w:rPr>
                <w:rFonts w:ascii="Verdana" w:hAnsi="Verdana"/>
                <w:color w:val="auto"/>
              </w:rPr>
              <w:t>En los procesos de enseñanza y aprendizaje de las matemáticas es esencial, el uso de distintos sistemas semióticos y diferentes representaciones, aunque, no es tan sencillo y ni se presenta en los estudiantes de manera espontánea y natural.</w:t>
            </w:r>
            <w:r w:rsidRPr="00F902F5">
              <w:rPr>
                <w:rFonts w:ascii="Verdana" w:hAnsi="Verdana"/>
                <w:color w:val="auto"/>
              </w:rPr>
              <w:t>” (</w:t>
            </w:r>
            <w:r w:rsidR="001901BD" w:rsidRPr="001901BD">
              <w:rPr>
                <w:rFonts w:ascii="Verdana" w:hAnsi="Verdana"/>
                <w:color w:val="auto"/>
              </w:rPr>
              <w:t>Eliana María Urrea Arango</w:t>
            </w:r>
            <w:r w:rsidRPr="00F902F5">
              <w:rPr>
                <w:rFonts w:ascii="Verdana" w:hAnsi="Verdana"/>
                <w:color w:val="auto"/>
              </w:rPr>
              <w:t xml:space="preserve">, </w:t>
            </w:r>
            <w:r w:rsidR="001901BD">
              <w:rPr>
                <w:rFonts w:ascii="Verdana" w:hAnsi="Verdana"/>
                <w:color w:val="auto"/>
              </w:rPr>
              <w:t>2022</w:t>
            </w:r>
            <w:r w:rsidRPr="00F902F5">
              <w:rPr>
                <w:rFonts w:ascii="Verdana" w:hAnsi="Verdana"/>
                <w:color w:val="auto"/>
              </w:rPr>
              <w:t>, página</w:t>
            </w:r>
            <w:r w:rsidR="001901BD">
              <w:rPr>
                <w:rFonts w:ascii="Verdana" w:hAnsi="Verdana"/>
                <w:color w:val="auto"/>
              </w:rPr>
              <w:t xml:space="preserve"> 25</w:t>
            </w:r>
            <w:r w:rsidRPr="00F902F5">
              <w:rPr>
                <w:rFonts w:ascii="Verdana" w:hAnsi="Verdana"/>
                <w:color w:val="auto"/>
              </w:rPr>
              <w:t>).</w:t>
            </w:r>
          </w:p>
        </w:tc>
        <w:tc>
          <w:tcPr>
            <w:tcW w:w="3947" w:type="dxa"/>
          </w:tcPr>
          <w:p w14:paraId="025C5EA4" w14:textId="5D3D6A7C" w:rsidR="002F5095" w:rsidRPr="00F902F5" w:rsidRDefault="001901BD" w:rsidP="00B5420E">
            <w:pPr>
              <w:pStyle w:val="Default"/>
              <w:spacing w:line="276" w:lineRule="auto"/>
              <w:jc w:val="left"/>
              <w:rPr>
                <w:rFonts w:ascii="Verdana" w:hAnsi="Verdana"/>
                <w:color w:val="auto"/>
              </w:rPr>
            </w:pPr>
            <w:r>
              <w:rPr>
                <w:rFonts w:ascii="Verdana" w:hAnsi="Verdana"/>
                <w:color w:val="auto"/>
              </w:rPr>
              <w:t>R</w:t>
            </w:r>
            <w:r w:rsidRPr="001901BD">
              <w:rPr>
                <w:rFonts w:ascii="Verdana" w:hAnsi="Verdana"/>
                <w:color w:val="auto"/>
              </w:rPr>
              <w:t>esalta la necesidad de emplear diversas representaciones —gráficas, simbólicas, concretas y verbales— en la enseñanza de las matemáticas. En el caso de las fracciones, el uso de dibujos, objetos manipulativos, esquemas y expresiones numéricas permite que los estudiantes comprendan el concepto desde diferentes perspectivas. Sin embargo, este proceso requiere orientación docente, ya que los niños no logran realizar estas conexiones de manera espontánea, sino a través de actividades guiadas y contextualizadas.</w:t>
            </w:r>
          </w:p>
        </w:tc>
      </w:tr>
      <w:tr w:rsidR="00F902F5" w:rsidRPr="00F902F5" w14:paraId="5EFE4751" w14:textId="77777777" w:rsidTr="00B5420E">
        <w:trPr>
          <w:trHeight w:val="959"/>
        </w:trPr>
        <w:tc>
          <w:tcPr>
            <w:tcW w:w="2742" w:type="dxa"/>
          </w:tcPr>
          <w:p w14:paraId="594993A9" w14:textId="77777777" w:rsidR="001901BD" w:rsidRDefault="001901BD" w:rsidP="00B5420E">
            <w:pPr>
              <w:pStyle w:val="Default"/>
              <w:spacing w:line="276" w:lineRule="auto"/>
              <w:jc w:val="left"/>
              <w:rPr>
                <w:rFonts w:ascii="Verdana" w:hAnsi="Verdana"/>
                <w:color w:val="auto"/>
              </w:rPr>
            </w:pPr>
            <w:r w:rsidRPr="001901BD">
              <w:rPr>
                <w:rFonts w:ascii="Verdana" w:hAnsi="Verdana"/>
                <w:color w:val="auto"/>
              </w:rPr>
              <w:t xml:space="preserve">Ayala, M. L., Barón Ortiz, S. P., &amp; Romero Moreno, A. (2017). Estrategia pedagógica mediada por el uso de las TIC para el fortalecimiento de la comprensión lectora en estudiantes grado quinto de primaria de </w:t>
            </w:r>
            <w:r w:rsidRPr="001901BD">
              <w:rPr>
                <w:rFonts w:ascii="Verdana" w:hAnsi="Verdana"/>
                <w:color w:val="auto"/>
              </w:rPr>
              <w:lastRenderedPageBreak/>
              <w:t>la Institución Educativa San Josemaría Escrivá de Balaguer sede Samaria.</w:t>
            </w:r>
            <w:r w:rsidRPr="001901BD">
              <w:rPr>
                <w:rFonts w:ascii="Verdana" w:hAnsi="Verdana"/>
                <w:color w:val="auto"/>
              </w:rPr>
              <w:t xml:space="preserve"> </w:t>
            </w:r>
          </w:p>
          <w:p w14:paraId="2F73F3BA" w14:textId="6A2F1412" w:rsidR="002F5095" w:rsidRPr="00F902F5" w:rsidRDefault="005C6AA7" w:rsidP="00B5420E">
            <w:pPr>
              <w:pStyle w:val="Default"/>
              <w:spacing w:line="276" w:lineRule="auto"/>
              <w:jc w:val="left"/>
              <w:rPr>
                <w:rFonts w:ascii="Verdana" w:hAnsi="Verdana"/>
                <w:color w:val="auto"/>
              </w:rPr>
            </w:pPr>
            <w:hyperlink r:id="rId19" w:history="1">
              <w:r w:rsidR="002F5095" w:rsidRPr="005C6AA7">
                <w:rPr>
                  <w:rStyle w:val="Hipervnculo"/>
                  <w:rFonts w:ascii="Verdana" w:hAnsi="Verdana"/>
                </w:rPr>
                <w:t>Enlace web</w:t>
              </w:r>
            </w:hyperlink>
          </w:p>
        </w:tc>
        <w:tc>
          <w:tcPr>
            <w:tcW w:w="3837" w:type="dxa"/>
          </w:tcPr>
          <w:p w14:paraId="0E59E451" w14:textId="35AD026B"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lastRenderedPageBreak/>
              <w:t>“</w:t>
            </w:r>
            <w:r w:rsidR="001901BD" w:rsidRPr="001901BD">
              <w:rPr>
                <w:rFonts w:ascii="Verdana" w:hAnsi="Verdana"/>
                <w:color w:val="auto"/>
              </w:rPr>
              <w:t xml:space="preserve">La influencia en gran medida de los factores tanto ambientales como el bajo nivel sociocultural, afectivo y de atención en su entorno ya que no estimulan el hábito lector y no proporcionan ambientes agradables que fomenten entusiasmo y curiosidad, por el aprendizaje tanto de los adultos como de </w:t>
            </w:r>
            <w:r w:rsidR="001901BD" w:rsidRPr="001901BD">
              <w:rPr>
                <w:rFonts w:ascii="Verdana" w:hAnsi="Verdana"/>
                <w:color w:val="auto"/>
              </w:rPr>
              <w:lastRenderedPageBreak/>
              <w:t>los estudiantes en el ejercicio de la actividad lectora comprensiva.</w:t>
            </w:r>
            <w:r w:rsidRPr="00F902F5">
              <w:rPr>
                <w:rFonts w:ascii="Verdana" w:hAnsi="Verdana"/>
                <w:color w:val="auto"/>
              </w:rPr>
              <w:t>” (</w:t>
            </w:r>
            <w:r w:rsidR="005C6AA7">
              <w:rPr>
                <w:rFonts w:ascii="Verdana" w:hAnsi="Verdana"/>
                <w:color w:val="auto"/>
              </w:rPr>
              <w:t>Martha, Sandra, Adelina</w:t>
            </w:r>
            <w:r w:rsidRPr="00F902F5">
              <w:rPr>
                <w:rFonts w:ascii="Verdana" w:hAnsi="Verdana"/>
                <w:color w:val="auto"/>
              </w:rPr>
              <w:t xml:space="preserve">, </w:t>
            </w:r>
            <w:r w:rsidR="005C6AA7">
              <w:rPr>
                <w:rFonts w:ascii="Verdana" w:hAnsi="Verdana"/>
                <w:color w:val="auto"/>
              </w:rPr>
              <w:t>2017</w:t>
            </w:r>
            <w:r w:rsidRPr="00F902F5">
              <w:rPr>
                <w:rFonts w:ascii="Verdana" w:hAnsi="Verdana"/>
                <w:color w:val="auto"/>
              </w:rPr>
              <w:t>, página</w:t>
            </w:r>
            <w:r w:rsidR="001901BD">
              <w:rPr>
                <w:rFonts w:ascii="Verdana" w:hAnsi="Verdana"/>
                <w:color w:val="auto"/>
              </w:rPr>
              <w:t xml:space="preserve"> 18</w:t>
            </w:r>
            <w:r w:rsidRPr="00F902F5">
              <w:rPr>
                <w:rFonts w:ascii="Verdana" w:hAnsi="Verdana"/>
                <w:color w:val="auto"/>
              </w:rPr>
              <w:t>).</w:t>
            </w:r>
          </w:p>
        </w:tc>
        <w:tc>
          <w:tcPr>
            <w:tcW w:w="3947" w:type="dxa"/>
          </w:tcPr>
          <w:p w14:paraId="29989E51" w14:textId="696CAA4D" w:rsidR="002F5095" w:rsidRPr="00F902F5" w:rsidRDefault="005C6AA7" w:rsidP="00B5420E">
            <w:pPr>
              <w:pStyle w:val="Default"/>
              <w:spacing w:line="276" w:lineRule="auto"/>
              <w:jc w:val="left"/>
              <w:rPr>
                <w:rFonts w:ascii="Verdana" w:hAnsi="Verdana"/>
                <w:color w:val="auto"/>
              </w:rPr>
            </w:pPr>
            <w:r w:rsidRPr="005C6AA7">
              <w:rPr>
                <w:rFonts w:ascii="Verdana" w:hAnsi="Verdana"/>
                <w:color w:val="auto"/>
              </w:rPr>
              <w:lastRenderedPageBreak/>
              <w:t xml:space="preserve">Este planteamiento evidencia cómo los factores socioculturales y ambientales inciden en el proceso de aprendizaje. En el caso de la enseñanza de las fracciones en contextos rurales, las limitaciones en los recursos educativos y la escasa estimulación del entorno pueden afectar la motivación </w:t>
            </w:r>
            <w:r w:rsidRPr="005C6AA7">
              <w:rPr>
                <w:rFonts w:ascii="Verdana" w:hAnsi="Verdana"/>
                <w:color w:val="auto"/>
              </w:rPr>
              <w:lastRenderedPageBreak/>
              <w:t>y la comprensión de los estudiantes. Por ello, es necesario implementar estrategias didácticas participativas y contextualizadas que despierten el interés, fortalezcan la atención y promuevan un aprendizaje significativo desde la realidad del estudiante.</w:t>
            </w:r>
          </w:p>
        </w:tc>
      </w:tr>
      <w:tr w:rsidR="00F902F5" w:rsidRPr="00F902F5" w14:paraId="4A19E8A7" w14:textId="77777777" w:rsidTr="00B5420E">
        <w:trPr>
          <w:trHeight w:val="959"/>
        </w:trPr>
        <w:tc>
          <w:tcPr>
            <w:tcW w:w="2742" w:type="dxa"/>
          </w:tcPr>
          <w:p w14:paraId="5C02C99D" w14:textId="4069465D" w:rsidR="002F5095" w:rsidRPr="00F902F5" w:rsidRDefault="00C7677C" w:rsidP="00B5420E">
            <w:pPr>
              <w:pStyle w:val="Default"/>
              <w:spacing w:line="276" w:lineRule="auto"/>
              <w:jc w:val="left"/>
              <w:rPr>
                <w:rFonts w:ascii="Verdana" w:hAnsi="Verdana"/>
                <w:color w:val="auto"/>
              </w:rPr>
            </w:pPr>
            <w:r w:rsidRPr="00C7677C">
              <w:rPr>
                <w:rFonts w:ascii="Verdana" w:hAnsi="Verdana"/>
                <w:color w:val="auto"/>
              </w:rPr>
              <w:t>Rapimán, D. Q. (2019). Intervención educativa intercultural para un diálogo de saberes indígena y escolar. Educar em revista, 35(76), 219-237</w:t>
            </w:r>
            <w:r w:rsidR="002F5095" w:rsidRPr="00F902F5">
              <w:rPr>
                <w:rFonts w:ascii="Verdana" w:hAnsi="Verdana"/>
                <w:color w:val="auto"/>
              </w:rPr>
              <w:t xml:space="preserve">. </w:t>
            </w:r>
            <w:hyperlink r:id="rId20" w:history="1">
              <w:r w:rsidR="002F5095" w:rsidRPr="00EC0BD2">
                <w:rPr>
                  <w:rStyle w:val="Hipervnculo"/>
                  <w:rFonts w:ascii="Verdana" w:hAnsi="Verdana"/>
                </w:rPr>
                <w:t>Enlace web</w:t>
              </w:r>
            </w:hyperlink>
          </w:p>
        </w:tc>
        <w:tc>
          <w:tcPr>
            <w:tcW w:w="3837" w:type="dxa"/>
          </w:tcPr>
          <w:p w14:paraId="71FD680B" w14:textId="2E48F0C2"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w:t>
            </w:r>
            <w:r w:rsidR="00C7677C" w:rsidRPr="00C7677C">
              <w:rPr>
                <w:rFonts w:ascii="Verdana" w:hAnsi="Verdana"/>
                <w:color w:val="auto"/>
              </w:rPr>
              <w:t xml:space="preserve">la intervención educativa intercultural implica asumir la igualdad de la condición humana sobre la base de un diálogo mutuo y la relación de intercambio con el fin de garantizar la libertad, la igualdad y la cohesión social </w:t>
            </w:r>
            <w:proofErr w:type="spellStart"/>
            <w:r w:rsidR="00C7677C" w:rsidRPr="00C7677C">
              <w:rPr>
                <w:rFonts w:ascii="Verdana" w:hAnsi="Verdana"/>
                <w:color w:val="auto"/>
              </w:rPr>
              <w:t>interculturizando</w:t>
            </w:r>
            <w:proofErr w:type="spellEnd"/>
            <w:r w:rsidR="00C7677C" w:rsidRPr="00C7677C">
              <w:rPr>
                <w:rFonts w:ascii="Verdana" w:hAnsi="Verdana"/>
                <w:color w:val="auto"/>
              </w:rPr>
              <w:t xml:space="preserve"> el currículum escolar</w:t>
            </w:r>
            <w:r w:rsidRPr="00F902F5">
              <w:rPr>
                <w:rFonts w:ascii="Verdana" w:hAnsi="Verdana"/>
                <w:color w:val="auto"/>
              </w:rPr>
              <w:t>” (</w:t>
            </w:r>
            <w:r w:rsidR="00EC0BD2" w:rsidRPr="00C7677C">
              <w:rPr>
                <w:rFonts w:ascii="Verdana" w:hAnsi="Verdana"/>
                <w:color w:val="auto"/>
              </w:rPr>
              <w:t>Rapimán</w:t>
            </w:r>
            <w:r w:rsidRPr="00F902F5">
              <w:rPr>
                <w:rFonts w:ascii="Verdana" w:hAnsi="Verdana"/>
                <w:color w:val="auto"/>
              </w:rPr>
              <w:t xml:space="preserve">, </w:t>
            </w:r>
            <w:r w:rsidR="00EC0BD2">
              <w:rPr>
                <w:rFonts w:ascii="Verdana" w:hAnsi="Verdana"/>
                <w:color w:val="auto"/>
              </w:rPr>
              <w:t>2019</w:t>
            </w:r>
            <w:r w:rsidRPr="00F902F5">
              <w:rPr>
                <w:rFonts w:ascii="Verdana" w:hAnsi="Verdana"/>
                <w:color w:val="auto"/>
              </w:rPr>
              <w:t>).</w:t>
            </w:r>
          </w:p>
        </w:tc>
        <w:tc>
          <w:tcPr>
            <w:tcW w:w="3947" w:type="dxa"/>
          </w:tcPr>
          <w:p w14:paraId="218D704C" w14:textId="77777777" w:rsidR="002F5095" w:rsidRPr="00F902F5" w:rsidRDefault="002F5095" w:rsidP="00B5420E">
            <w:pPr>
              <w:pStyle w:val="Default"/>
              <w:spacing w:line="276" w:lineRule="auto"/>
              <w:jc w:val="left"/>
              <w:rPr>
                <w:rFonts w:ascii="Verdana" w:hAnsi="Verdana"/>
                <w:color w:val="auto"/>
              </w:rPr>
            </w:pPr>
            <w:r w:rsidRPr="00F902F5">
              <w:rPr>
                <w:rFonts w:ascii="Verdana" w:hAnsi="Verdana"/>
                <w:color w:val="auto"/>
              </w:rPr>
              <w:t>Comprensión del concepto en función del problema de investigación, o explicación del problema a la luz del concepto teórico.</w:t>
            </w:r>
          </w:p>
        </w:tc>
      </w:tr>
    </w:tbl>
    <w:p w14:paraId="5EFF2EB9" w14:textId="77777777" w:rsidR="002F5095" w:rsidRDefault="002F5095" w:rsidP="002F5095">
      <w:pPr>
        <w:pStyle w:val="Default"/>
        <w:spacing w:line="276" w:lineRule="auto"/>
        <w:jc w:val="left"/>
        <w:rPr>
          <w:rFonts w:ascii="Verdana" w:hAnsi="Verdana"/>
        </w:rPr>
      </w:pPr>
    </w:p>
    <w:p w14:paraId="3D609CCB" w14:textId="4DE7D1A8" w:rsidR="00EC0BD2" w:rsidRPr="00EC0BD2" w:rsidRDefault="00EC0BD2" w:rsidP="00EC0BD2">
      <w:pPr>
        <w:spacing w:after="0" w:line="240" w:lineRule="auto"/>
        <w:rPr>
          <w:rFonts w:cstheme="minorHAnsi"/>
          <w:b/>
          <w:szCs w:val="24"/>
        </w:rPr>
      </w:pPr>
      <w:r w:rsidRPr="00EC0BD2">
        <w:rPr>
          <w:rFonts w:cstheme="minorHAnsi"/>
          <w:b/>
          <w:szCs w:val="24"/>
        </w:rPr>
        <w:t>Síntesis interpretativa</w:t>
      </w:r>
    </w:p>
    <w:p w14:paraId="5CA57E82" w14:textId="77777777" w:rsidR="00EC0BD2" w:rsidRDefault="00EC0BD2" w:rsidP="00EC0BD2">
      <w:pPr>
        <w:spacing w:after="0" w:line="240" w:lineRule="auto"/>
        <w:rPr>
          <w:rFonts w:cstheme="minorHAnsi"/>
          <w:bCs/>
          <w:szCs w:val="24"/>
        </w:rPr>
      </w:pPr>
    </w:p>
    <w:p w14:paraId="79C68B3B" w14:textId="629D089F" w:rsidR="00EC0BD2" w:rsidRPr="00EC0BD2" w:rsidRDefault="00EC0BD2" w:rsidP="00EC0BD2">
      <w:pPr>
        <w:spacing w:after="0" w:line="240" w:lineRule="auto"/>
        <w:rPr>
          <w:rFonts w:cstheme="minorHAnsi"/>
          <w:bCs/>
          <w:szCs w:val="24"/>
        </w:rPr>
      </w:pPr>
      <w:r w:rsidRPr="00EC0BD2">
        <w:rPr>
          <w:rFonts w:cstheme="minorHAnsi"/>
          <w:bCs/>
          <w:szCs w:val="24"/>
        </w:rPr>
        <w:t>Los fundamentos teóricos revisados coinciden en que la enseñanza de las fracciones debe ser activa, contextualizada y significativa, reconociendo los saberes culturales del entorno y utilizando recursos didácticos accesibles. La interacción social, la mediación docente, y el uso de materiales manipulativos y TIC resultan esenciales para facilitar la comprensión conceptual.</w:t>
      </w:r>
    </w:p>
    <w:p w14:paraId="50D84434" w14:textId="77777777" w:rsidR="00EC0BD2" w:rsidRPr="00EC0BD2" w:rsidRDefault="00EC0BD2" w:rsidP="00EC0BD2">
      <w:pPr>
        <w:spacing w:after="0" w:line="240" w:lineRule="auto"/>
        <w:rPr>
          <w:rFonts w:cstheme="minorHAnsi"/>
          <w:bCs/>
          <w:szCs w:val="24"/>
        </w:rPr>
      </w:pPr>
    </w:p>
    <w:p w14:paraId="72B769DD" w14:textId="13BD5CC7" w:rsidR="00B60F29" w:rsidRPr="00EC0BD2" w:rsidRDefault="00EC0BD2" w:rsidP="00EC0BD2">
      <w:pPr>
        <w:spacing w:after="0" w:line="240" w:lineRule="auto"/>
        <w:rPr>
          <w:rFonts w:cstheme="minorHAnsi"/>
          <w:bCs/>
          <w:szCs w:val="24"/>
        </w:rPr>
      </w:pPr>
      <w:r w:rsidRPr="00EC0BD2">
        <w:rPr>
          <w:rFonts w:cstheme="minorHAnsi"/>
          <w:bCs/>
          <w:szCs w:val="24"/>
        </w:rPr>
        <w:t>Desde el modelo holístico e intercultural decolonial, este proyecto se orienta a superar las prácticas tradicionales de enseñanza basadas en la repetición mecánica, promoviendo procesos reflexivos y colaborativos que vinculen las matemáticas con la realidad de los estudiantes rurales, fomentando así una educación más justa, participativa y transformadora.</w:t>
      </w:r>
    </w:p>
    <w:sectPr w:rsidR="00B60F29" w:rsidRPr="00EC0BD2" w:rsidSect="00181139">
      <w:headerReference w:type="even" r:id="rId21"/>
      <w:headerReference w:type="default" r:id="rId22"/>
      <w:footerReference w:type="even" r:id="rId23"/>
      <w:footerReference w:type="default" r:id="rId24"/>
      <w:headerReference w:type="first" r:id="rId25"/>
      <w:footerReference w:type="first" r:id="rId26"/>
      <w:pgSz w:w="12240" w:h="15840"/>
      <w:pgMar w:top="1701"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006A" w14:textId="77777777" w:rsidR="005073AF" w:rsidRDefault="005073AF" w:rsidP="00CC436B">
      <w:pPr>
        <w:spacing w:after="0" w:line="240" w:lineRule="auto"/>
      </w:pPr>
      <w:r>
        <w:separator/>
      </w:r>
    </w:p>
  </w:endnote>
  <w:endnote w:type="continuationSeparator" w:id="0">
    <w:p w14:paraId="5942040A" w14:textId="77777777" w:rsidR="005073AF" w:rsidRDefault="005073AF" w:rsidP="00CC436B">
      <w:pPr>
        <w:spacing w:after="0" w:line="240" w:lineRule="auto"/>
      </w:pPr>
      <w:r>
        <w:continuationSeparator/>
      </w:r>
    </w:p>
  </w:endnote>
  <w:endnote w:type="continuationNotice" w:id="1">
    <w:p w14:paraId="601A9832" w14:textId="77777777" w:rsidR="005073AF" w:rsidRDefault="00507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C84C" w14:textId="77777777" w:rsidR="00181139" w:rsidRDefault="001811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55700"/>
      <w:docPartObj>
        <w:docPartGallery w:val="Page Numbers (Bottom of Page)"/>
        <w:docPartUnique/>
      </w:docPartObj>
    </w:sdtPr>
    <w:sdtContent>
      <w:p w14:paraId="310C4FFE" w14:textId="52F7AFA7" w:rsidR="007D249E" w:rsidRDefault="007D249E">
        <w:pPr>
          <w:pStyle w:val="Piedepgina"/>
          <w:jc w:val="right"/>
        </w:pPr>
        <w:r>
          <w:fldChar w:fldCharType="begin"/>
        </w:r>
        <w:r>
          <w:instrText>PAGE   \* MERGEFORMAT</w:instrText>
        </w:r>
        <w:r>
          <w:fldChar w:fldCharType="separate"/>
        </w:r>
        <w:r w:rsidR="005A6F18" w:rsidRPr="005A6F18">
          <w:rPr>
            <w:noProof/>
            <w:lang w:val="es-ES"/>
          </w:rPr>
          <w:t>2</w:t>
        </w:r>
        <w:r>
          <w:fldChar w:fldCharType="end"/>
        </w:r>
      </w:p>
    </w:sdtContent>
  </w:sdt>
  <w:p w14:paraId="53EF5B49" w14:textId="031A7349" w:rsidR="007D249E" w:rsidRDefault="00181139">
    <w:pPr>
      <w:pStyle w:val="Piedepgina"/>
    </w:pPr>
    <w:r>
      <w:rPr>
        <w:noProof/>
      </w:rPr>
      <w:drawing>
        <wp:anchor distT="0" distB="0" distL="114300" distR="114300" simplePos="0" relativeHeight="251662337" behindDoc="1" locked="0" layoutInCell="1" allowOverlap="1" wp14:anchorId="265E6FF7" wp14:editId="69C820A2">
          <wp:simplePos x="0" y="0"/>
          <wp:positionH relativeFrom="page">
            <wp:posOffset>3810</wp:posOffset>
          </wp:positionH>
          <wp:positionV relativeFrom="paragraph">
            <wp:posOffset>370840</wp:posOffset>
          </wp:positionV>
          <wp:extent cx="7772400" cy="24184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2418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776E" w14:textId="77777777" w:rsidR="00181139" w:rsidRDefault="001811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F5D4" w14:textId="77777777" w:rsidR="005073AF" w:rsidRDefault="005073AF" w:rsidP="00CC436B">
      <w:pPr>
        <w:spacing w:after="0" w:line="240" w:lineRule="auto"/>
      </w:pPr>
      <w:r>
        <w:separator/>
      </w:r>
    </w:p>
  </w:footnote>
  <w:footnote w:type="continuationSeparator" w:id="0">
    <w:p w14:paraId="5B2ECCE2" w14:textId="77777777" w:rsidR="005073AF" w:rsidRDefault="005073AF" w:rsidP="00CC436B">
      <w:pPr>
        <w:spacing w:after="0" w:line="240" w:lineRule="auto"/>
      </w:pPr>
      <w:r>
        <w:continuationSeparator/>
      </w:r>
    </w:p>
  </w:footnote>
  <w:footnote w:type="continuationNotice" w:id="1">
    <w:p w14:paraId="424BDA9F" w14:textId="77777777" w:rsidR="005073AF" w:rsidRDefault="00507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4AD7" w14:textId="77777777" w:rsidR="00181139" w:rsidRDefault="001811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7E4B" w14:textId="02A6F81A" w:rsidR="007D249E" w:rsidRDefault="00181139">
    <w:pPr>
      <w:pStyle w:val="Encabezado"/>
    </w:pPr>
    <w:r>
      <w:rPr>
        <w:noProof/>
      </w:rPr>
      <w:drawing>
        <wp:anchor distT="0" distB="0" distL="114300" distR="114300" simplePos="0" relativeHeight="251660289" behindDoc="1" locked="0" layoutInCell="1" allowOverlap="1" wp14:anchorId="5A88A0CF" wp14:editId="02DDD2A8">
          <wp:simplePos x="0" y="0"/>
          <wp:positionH relativeFrom="page">
            <wp:posOffset>-12923</wp:posOffset>
          </wp:positionH>
          <wp:positionV relativeFrom="paragraph">
            <wp:posOffset>-434975</wp:posOffset>
          </wp:positionV>
          <wp:extent cx="7791450" cy="8524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1450" cy="852493"/>
                  </a:xfrm>
                  <a:prstGeom prst="rect">
                    <a:avLst/>
                  </a:prstGeom>
                </pic:spPr>
              </pic:pic>
            </a:graphicData>
          </a:graphic>
          <wp14:sizeRelH relativeFrom="page">
            <wp14:pctWidth>0</wp14:pctWidth>
          </wp14:sizeRelH>
          <wp14:sizeRelV relativeFrom="page">
            <wp14:pctHeight>0</wp14:pctHeight>
          </wp14:sizeRelV>
        </wp:anchor>
      </w:drawing>
    </w:r>
  </w:p>
  <w:p w14:paraId="020B643F" w14:textId="75D348C0" w:rsidR="007D249E" w:rsidRDefault="007D24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2ADE" w14:textId="77777777" w:rsidR="00181139" w:rsidRDefault="001811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5F"/>
    <w:multiLevelType w:val="hybridMultilevel"/>
    <w:tmpl w:val="26BA3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C66BB5"/>
    <w:multiLevelType w:val="hybridMultilevel"/>
    <w:tmpl w:val="2AF8D5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012484"/>
    <w:multiLevelType w:val="hybridMultilevel"/>
    <w:tmpl w:val="D310AE1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B664A24"/>
    <w:multiLevelType w:val="hybridMultilevel"/>
    <w:tmpl w:val="01CA1B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765D1A"/>
    <w:multiLevelType w:val="hybridMultilevel"/>
    <w:tmpl w:val="A6465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3D0178"/>
    <w:multiLevelType w:val="hybridMultilevel"/>
    <w:tmpl w:val="9460D18C"/>
    <w:lvl w:ilvl="0" w:tplc="049422D6">
      <w:start w:val="1"/>
      <w:numFmt w:val="decimal"/>
      <w:lvlText w:val="%1."/>
      <w:lvlJc w:val="left"/>
      <w:pPr>
        <w:ind w:left="501"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A20E70"/>
    <w:multiLevelType w:val="hybridMultilevel"/>
    <w:tmpl w:val="85FA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6132BB"/>
    <w:multiLevelType w:val="hybridMultilevel"/>
    <w:tmpl w:val="0090D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E10224"/>
    <w:multiLevelType w:val="hybridMultilevel"/>
    <w:tmpl w:val="4460A3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9742E19"/>
    <w:multiLevelType w:val="hybridMultilevel"/>
    <w:tmpl w:val="17486B3A"/>
    <w:lvl w:ilvl="0" w:tplc="FFFFFFFF">
      <w:start w:val="1"/>
      <w:numFmt w:val="decimal"/>
      <w:lvlText w:val="%1."/>
      <w:lvlJc w:val="left"/>
      <w:pPr>
        <w:ind w:left="720" w:hanging="360"/>
      </w:pPr>
      <w:rPr>
        <w:rFonts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E75FE1"/>
    <w:multiLevelType w:val="hybridMultilevel"/>
    <w:tmpl w:val="17486B3A"/>
    <w:lvl w:ilvl="0" w:tplc="EA6CB31E">
      <w:start w:val="1"/>
      <w:numFmt w:val="decimal"/>
      <w:lvlText w:val="%1."/>
      <w:lvlJc w:val="left"/>
      <w:pPr>
        <w:ind w:left="720" w:hanging="360"/>
      </w:pPr>
      <w:rPr>
        <w:rFonts w:hint="default"/>
        <w:color w:val="808080" w:themeColor="background1" w:themeShade="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9349E8"/>
    <w:multiLevelType w:val="hybridMultilevel"/>
    <w:tmpl w:val="E9B0A3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C53EB3"/>
    <w:multiLevelType w:val="hybridMultilevel"/>
    <w:tmpl w:val="B8C2A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8DE7855"/>
    <w:multiLevelType w:val="hybridMultilevel"/>
    <w:tmpl w:val="3692E9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093213"/>
    <w:multiLevelType w:val="hybridMultilevel"/>
    <w:tmpl w:val="87124A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8177934"/>
    <w:multiLevelType w:val="hybridMultilevel"/>
    <w:tmpl w:val="FECA44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6D7402"/>
    <w:multiLevelType w:val="hybridMultilevel"/>
    <w:tmpl w:val="90907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C372E33"/>
    <w:multiLevelType w:val="multilevel"/>
    <w:tmpl w:val="27541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9D4AEF"/>
    <w:multiLevelType w:val="hybridMultilevel"/>
    <w:tmpl w:val="D9AC5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E246E06"/>
    <w:multiLevelType w:val="hybridMultilevel"/>
    <w:tmpl w:val="3118C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9988825">
    <w:abstractNumId w:val="2"/>
  </w:num>
  <w:num w:numId="2" w16cid:durableId="1368142100">
    <w:abstractNumId w:val="0"/>
  </w:num>
  <w:num w:numId="3" w16cid:durableId="1562324818">
    <w:abstractNumId w:val="12"/>
  </w:num>
  <w:num w:numId="4" w16cid:durableId="196508751">
    <w:abstractNumId w:val="11"/>
  </w:num>
  <w:num w:numId="5" w16cid:durableId="25720773">
    <w:abstractNumId w:val="3"/>
  </w:num>
  <w:num w:numId="6" w16cid:durableId="1263416642">
    <w:abstractNumId w:val="13"/>
  </w:num>
  <w:num w:numId="7" w16cid:durableId="1281107233">
    <w:abstractNumId w:val="10"/>
  </w:num>
  <w:num w:numId="8" w16cid:durableId="61031845">
    <w:abstractNumId w:val="17"/>
  </w:num>
  <w:num w:numId="9" w16cid:durableId="2056583">
    <w:abstractNumId w:val="6"/>
  </w:num>
  <w:num w:numId="10" w16cid:durableId="1755666544">
    <w:abstractNumId w:val="15"/>
  </w:num>
  <w:num w:numId="11" w16cid:durableId="1687946314">
    <w:abstractNumId w:val="9"/>
  </w:num>
  <w:num w:numId="12" w16cid:durableId="1482888747">
    <w:abstractNumId w:val="7"/>
  </w:num>
  <w:num w:numId="13" w16cid:durableId="1908421093">
    <w:abstractNumId w:val="14"/>
  </w:num>
  <w:num w:numId="14" w16cid:durableId="579680690">
    <w:abstractNumId w:val="19"/>
  </w:num>
  <w:num w:numId="15" w16cid:durableId="325089336">
    <w:abstractNumId w:val="18"/>
  </w:num>
  <w:num w:numId="16" w16cid:durableId="1582524200">
    <w:abstractNumId w:val="5"/>
  </w:num>
  <w:num w:numId="17" w16cid:durableId="1219322300">
    <w:abstractNumId w:val="8"/>
  </w:num>
  <w:num w:numId="18" w16cid:durableId="1639873701">
    <w:abstractNumId w:val="4"/>
  </w:num>
  <w:num w:numId="19" w16cid:durableId="767385852">
    <w:abstractNumId w:val="16"/>
  </w:num>
  <w:num w:numId="20" w16cid:durableId="114073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6B"/>
    <w:rsid w:val="00001B72"/>
    <w:rsid w:val="000043CB"/>
    <w:rsid w:val="00007BC2"/>
    <w:rsid w:val="00030E35"/>
    <w:rsid w:val="00032665"/>
    <w:rsid w:val="00033945"/>
    <w:rsid w:val="000400DB"/>
    <w:rsid w:val="000525DF"/>
    <w:rsid w:val="0005532D"/>
    <w:rsid w:val="00055FAD"/>
    <w:rsid w:val="00056BDC"/>
    <w:rsid w:val="0007021B"/>
    <w:rsid w:val="0007388F"/>
    <w:rsid w:val="00081068"/>
    <w:rsid w:val="00094206"/>
    <w:rsid w:val="000A0D23"/>
    <w:rsid w:val="000A1B6E"/>
    <w:rsid w:val="000A3E1F"/>
    <w:rsid w:val="000C373C"/>
    <w:rsid w:val="000D06DB"/>
    <w:rsid w:val="000D3068"/>
    <w:rsid w:val="000F4AA7"/>
    <w:rsid w:val="00101375"/>
    <w:rsid w:val="001028E2"/>
    <w:rsid w:val="00116BFC"/>
    <w:rsid w:val="00117F9F"/>
    <w:rsid w:val="001213F0"/>
    <w:rsid w:val="00123EF1"/>
    <w:rsid w:val="00126ABC"/>
    <w:rsid w:val="00136ADC"/>
    <w:rsid w:val="00142530"/>
    <w:rsid w:val="00142971"/>
    <w:rsid w:val="001431F9"/>
    <w:rsid w:val="0014785D"/>
    <w:rsid w:val="00155DCB"/>
    <w:rsid w:val="00156A93"/>
    <w:rsid w:val="001606FF"/>
    <w:rsid w:val="00160918"/>
    <w:rsid w:val="00181139"/>
    <w:rsid w:val="00182B20"/>
    <w:rsid w:val="001870EB"/>
    <w:rsid w:val="00187D1E"/>
    <w:rsid w:val="001901BD"/>
    <w:rsid w:val="00190206"/>
    <w:rsid w:val="00191D82"/>
    <w:rsid w:val="0019303C"/>
    <w:rsid w:val="00197B63"/>
    <w:rsid w:val="001A0C94"/>
    <w:rsid w:val="001A2A86"/>
    <w:rsid w:val="001B0D27"/>
    <w:rsid w:val="001B1B3B"/>
    <w:rsid w:val="001B2983"/>
    <w:rsid w:val="001B4D57"/>
    <w:rsid w:val="001C41BB"/>
    <w:rsid w:val="001C6B52"/>
    <w:rsid w:val="001D232D"/>
    <w:rsid w:val="001E3921"/>
    <w:rsid w:val="001E7901"/>
    <w:rsid w:val="001F12FD"/>
    <w:rsid w:val="001F33FB"/>
    <w:rsid w:val="001F3E8B"/>
    <w:rsid w:val="001F5473"/>
    <w:rsid w:val="00200475"/>
    <w:rsid w:val="002056A4"/>
    <w:rsid w:val="00206901"/>
    <w:rsid w:val="002116C3"/>
    <w:rsid w:val="0021621E"/>
    <w:rsid w:val="0022034F"/>
    <w:rsid w:val="002249A3"/>
    <w:rsid w:val="00225B01"/>
    <w:rsid w:val="00235A0B"/>
    <w:rsid w:val="002413B5"/>
    <w:rsid w:val="00242EF7"/>
    <w:rsid w:val="00245DAE"/>
    <w:rsid w:val="00253A6E"/>
    <w:rsid w:val="00256349"/>
    <w:rsid w:val="00261A7F"/>
    <w:rsid w:val="00262587"/>
    <w:rsid w:val="00262A10"/>
    <w:rsid w:val="00262FC6"/>
    <w:rsid w:val="00263995"/>
    <w:rsid w:val="0026404C"/>
    <w:rsid w:val="00287AB6"/>
    <w:rsid w:val="00291DDB"/>
    <w:rsid w:val="002A332C"/>
    <w:rsid w:val="002A6FD2"/>
    <w:rsid w:val="002C26E0"/>
    <w:rsid w:val="002D0F68"/>
    <w:rsid w:val="002D7A2E"/>
    <w:rsid w:val="002E1675"/>
    <w:rsid w:val="002E1727"/>
    <w:rsid w:val="002E2B4C"/>
    <w:rsid w:val="002F4C67"/>
    <w:rsid w:val="002F5095"/>
    <w:rsid w:val="002F791E"/>
    <w:rsid w:val="003009F3"/>
    <w:rsid w:val="0031100F"/>
    <w:rsid w:val="0031523F"/>
    <w:rsid w:val="00317163"/>
    <w:rsid w:val="00321762"/>
    <w:rsid w:val="00323EDF"/>
    <w:rsid w:val="003311D5"/>
    <w:rsid w:val="003332B3"/>
    <w:rsid w:val="0033348B"/>
    <w:rsid w:val="00337E8E"/>
    <w:rsid w:val="003408B2"/>
    <w:rsid w:val="00343EFB"/>
    <w:rsid w:val="0035553A"/>
    <w:rsid w:val="003555D2"/>
    <w:rsid w:val="00355FAE"/>
    <w:rsid w:val="00357081"/>
    <w:rsid w:val="00363A2A"/>
    <w:rsid w:val="00365561"/>
    <w:rsid w:val="00370173"/>
    <w:rsid w:val="0037215F"/>
    <w:rsid w:val="003822C0"/>
    <w:rsid w:val="003861DB"/>
    <w:rsid w:val="003959F7"/>
    <w:rsid w:val="003963AA"/>
    <w:rsid w:val="003C2B7F"/>
    <w:rsid w:val="003D00D3"/>
    <w:rsid w:val="003D23D6"/>
    <w:rsid w:val="003D3AF1"/>
    <w:rsid w:val="003D5249"/>
    <w:rsid w:val="003E188E"/>
    <w:rsid w:val="003E37EB"/>
    <w:rsid w:val="003E56F0"/>
    <w:rsid w:val="003F0C70"/>
    <w:rsid w:val="003F15E6"/>
    <w:rsid w:val="003F1C4C"/>
    <w:rsid w:val="003F5488"/>
    <w:rsid w:val="003F6F85"/>
    <w:rsid w:val="004106AE"/>
    <w:rsid w:val="00411A99"/>
    <w:rsid w:val="00432040"/>
    <w:rsid w:val="00434234"/>
    <w:rsid w:val="0043461E"/>
    <w:rsid w:val="00436F23"/>
    <w:rsid w:val="00440EC9"/>
    <w:rsid w:val="00457939"/>
    <w:rsid w:val="0046334A"/>
    <w:rsid w:val="00473FD8"/>
    <w:rsid w:val="004767EE"/>
    <w:rsid w:val="004832EA"/>
    <w:rsid w:val="0048486D"/>
    <w:rsid w:val="00490EBF"/>
    <w:rsid w:val="0049275D"/>
    <w:rsid w:val="004A05A2"/>
    <w:rsid w:val="004A21B3"/>
    <w:rsid w:val="004A7507"/>
    <w:rsid w:val="004B2540"/>
    <w:rsid w:val="004B4C80"/>
    <w:rsid w:val="004B5BA4"/>
    <w:rsid w:val="004B64A2"/>
    <w:rsid w:val="004D2469"/>
    <w:rsid w:val="004D49C3"/>
    <w:rsid w:val="004E0FD1"/>
    <w:rsid w:val="004E3093"/>
    <w:rsid w:val="004E6AC6"/>
    <w:rsid w:val="004F1040"/>
    <w:rsid w:val="004F6F7D"/>
    <w:rsid w:val="00505AAF"/>
    <w:rsid w:val="005067B4"/>
    <w:rsid w:val="005073AF"/>
    <w:rsid w:val="00514957"/>
    <w:rsid w:val="00520BAC"/>
    <w:rsid w:val="00530ECF"/>
    <w:rsid w:val="005325CD"/>
    <w:rsid w:val="00532F38"/>
    <w:rsid w:val="005369CC"/>
    <w:rsid w:val="00543FEC"/>
    <w:rsid w:val="00554851"/>
    <w:rsid w:val="005564AF"/>
    <w:rsid w:val="005621FB"/>
    <w:rsid w:val="0056245A"/>
    <w:rsid w:val="00562F6C"/>
    <w:rsid w:val="00564F37"/>
    <w:rsid w:val="00567697"/>
    <w:rsid w:val="0057087B"/>
    <w:rsid w:val="00577B5E"/>
    <w:rsid w:val="00581883"/>
    <w:rsid w:val="00583B51"/>
    <w:rsid w:val="00590DB1"/>
    <w:rsid w:val="00591EA2"/>
    <w:rsid w:val="005A0B55"/>
    <w:rsid w:val="005A1A7E"/>
    <w:rsid w:val="005A49B5"/>
    <w:rsid w:val="005A6F18"/>
    <w:rsid w:val="005B3101"/>
    <w:rsid w:val="005C6450"/>
    <w:rsid w:val="005C6AA7"/>
    <w:rsid w:val="005D3F04"/>
    <w:rsid w:val="005D4172"/>
    <w:rsid w:val="005D7DAD"/>
    <w:rsid w:val="005E2EB7"/>
    <w:rsid w:val="005E5A14"/>
    <w:rsid w:val="005F0B9A"/>
    <w:rsid w:val="005F2B15"/>
    <w:rsid w:val="00601713"/>
    <w:rsid w:val="00605654"/>
    <w:rsid w:val="00614B4C"/>
    <w:rsid w:val="0061503E"/>
    <w:rsid w:val="006151A3"/>
    <w:rsid w:val="00615BD9"/>
    <w:rsid w:val="006203C0"/>
    <w:rsid w:val="00627B29"/>
    <w:rsid w:val="0063036A"/>
    <w:rsid w:val="00630E96"/>
    <w:rsid w:val="006378CD"/>
    <w:rsid w:val="006436F7"/>
    <w:rsid w:val="00650199"/>
    <w:rsid w:val="00650319"/>
    <w:rsid w:val="00653E64"/>
    <w:rsid w:val="00655C25"/>
    <w:rsid w:val="006563D8"/>
    <w:rsid w:val="0066154F"/>
    <w:rsid w:val="006769CD"/>
    <w:rsid w:val="00682C46"/>
    <w:rsid w:val="006833AE"/>
    <w:rsid w:val="006923C4"/>
    <w:rsid w:val="006974C5"/>
    <w:rsid w:val="006A1DAD"/>
    <w:rsid w:val="006B4931"/>
    <w:rsid w:val="006C00FA"/>
    <w:rsid w:val="006C4392"/>
    <w:rsid w:val="006C5A8B"/>
    <w:rsid w:val="006C658E"/>
    <w:rsid w:val="006C6B28"/>
    <w:rsid w:val="006D3369"/>
    <w:rsid w:val="006D4383"/>
    <w:rsid w:val="006D4F61"/>
    <w:rsid w:val="006D6768"/>
    <w:rsid w:val="006D71C5"/>
    <w:rsid w:val="006D785E"/>
    <w:rsid w:val="006D7FA8"/>
    <w:rsid w:val="006E484A"/>
    <w:rsid w:val="006F0246"/>
    <w:rsid w:val="006F19FA"/>
    <w:rsid w:val="006F2869"/>
    <w:rsid w:val="006F2F2A"/>
    <w:rsid w:val="006F7ED3"/>
    <w:rsid w:val="007107EC"/>
    <w:rsid w:val="0072009E"/>
    <w:rsid w:val="007212E2"/>
    <w:rsid w:val="00726739"/>
    <w:rsid w:val="00726EFF"/>
    <w:rsid w:val="00727ED0"/>
    <w:rsid w:val="00732CEB"/>
    <w:rsid w:val="00740612"/>
    <w:rsid w:val="00741969"/>
    <w:rsid w:val="007440FC"/>
    <w:rsid w:val="00744CF8"/>
    <w:rsid w:val="00745119"/>
    <w:rsid w:val="00746C3F"/>
    <w:rsid w:val="007472E9"/>
    <w:rsid w:val="007476F1"/>
    <w:rsid w:val="00753E03"/>
    <w:rsid w:val="0075410E"/>
    <w:rsid w:val="00763326"/>
    <w:rsid w:val="00765A53"/>
    <w:rsid w:val="007668F9"/>
    <w:rsid w:val="00782850"/>
    <w:rsid w:val="00791863"/>
    <w:rsid w:val="00791F57"/>
    <w:rsid w:val="0079539C"/>
    <w:rsid w:val="007A6B4A"/>
    <w:rsid w:val="007A781A"/>
    <w:rsid w:val="007B1F7C"/>
    <w:rsid w:val="007B25BF"/>
    <w:rsid w:val="007C21F4"/>
    <w:rsid w:val="007D0CC1"/>
    <w:rsid w:val="007D249E"/>
    <w:rsid w:val="007E0B4C"/>
    <w:rsid w:val="007F35E9"/>
    <w:rsid w:val="008015B6"/>
    <w:rsid w:val="0080299D"/>
    <w:rsid w:val="00804F34"/>
    <w:rsid w:val="008104B8"/>
    <w:rsid w:val="008134BC"/>
    <w:rsid w:val="008219B3"/>
    <w:rsid w:val="0082265B"/>
    <w:rsid w:val="00822AFA"/>
    <w:rsid w:val="00826E73"/>
    <w:rsid w:val="00827C85"/>
    <w:rsid w:val="00834F1B"/>
    <w:rsid w:val="0084194E"/>
    <w:rsid w:val="00851E8E"/>
    <w:rsid w:val="0085438E"/>
    <w:rsid w:val="008548AE"/>
    <w:rsid w:val="008569CF"/>
    <w:rsid w:val="008577EC"/>
    <w:rsid w:val="008633AF"/>
    <w:rsid w:val="0086701A"/>
    <w:rsid w:val="008674B7"/>
    <w:rsid w:val="0087438D"/>
    <w:rsid w:val="00874742"/>
    <w:rsid w:val="008801A0"/>
    <w:rsid w:val="00880320"/>
    <w:rsid w:val="00882E52"/>
    <w:rsid w:val="008A13AB"/>
    <w:rsid w:val="008A5386"/>
    <w:rsid w:val="008A5756"/>
    <w:rsid w:val="008A5C28"/>
    <w:rsid w:val="008A68E5"/>
    <w:rsid w:val="008B5717"/>
    <w:rsid w:val="008C09D9"/>
    <w:rsid w:val="008C13F4"/>
    <w:rsid w:val="008C5FB7"/>
    <w:rsid w:val="008C7655"/>
    <w:rsid w:val="008D1961"/>
    <w:rsid w:val="008D7775"/>
    <w:rsid w:val="008E5D8B"/>
    <w:rsid w:val="008E5EA6"/>
    <w:rsid w:val="008E6695"/>
    <w:rsid w:val="00901F90"/>
    <w:rsid w:val="00902B23"/>
    <w:rsid w:val="00905467"/>
    <w:rsid w:val="00910E57"/>
    <w:rsid w:val="00911412"/>
    <w:rsid w:val="0091525F"/>
    <w:rsid w:val="00920471"/>
    <w:rsid w:val="00924D6D"/>
    <w:rsid w:val="0092532A"/>
    <w:rsid w:val="00927579"/>
    <w:rsid w:val="00927746"/>
    <w:rsid w:val="00931215"/>
    <w:rsid w:val="009348A3"/>
    <w:rsid w:val="00934A49"/>
    <w:rsid w:val="009415DD"/>
    <w:rsid w:val="009435DC"/>
    <w:rsid w:val="00954DA0"/>
    <w:rsid w:val="00955415"/>
    <w:rsid w:val="00956609"/>
    <w:rsid w:val="00960E45"/>
    <w:rsid w:val="00961BB6"/>
    <w:rsid w:val="009665AB"/>
    <w:rsid w:val="00967882"/>
    <w:rsid w:val="00982C87"/>
    <w:rsid w:val="00992D16"/>
    <w:rsid w:val="009937D5"/>
    <w:rsid w:val="00996A5C"/>
    <w:rsid w:val="009A01D8"/>
    <w:rsid w:val="009B59D8"/>
    <w:rsid w:val="009C2AA9"/>
    <w:rsid w:val="009C3314"/>
    <w:rsid w:val="009C422B"/>
    <w:rsid w:val="009D538B"/>
    <w:rsid w:val="009E3519"/>
    <w:rsid w:val="009E696B"/>
    <w:rsid w:val="009F0454"/>
    <w:rsid w:val="009F7280"/>
    <w:rsid w:val="009F755B"/>
    <w:rsid w:val="00A13C49"/>
    <w:rsid w:val="00A146DF"/>
    <w:rsid w:val="00A20535"/>
    <w:rsid w:val="00A36016"/>
    <w:rsid w:val="00A3645F"/>
    <w:rsid w:val="00A37440"/>
    <w:rsid w:val="00A46DFE"/>
    <w:rsid w:val="00A57778"/>
    <w:rsid w:val="00A577CD"/>
    <w:rsid w:val="00A63588"/>
    <w:rsid w:val="00A64282"/>
    <w:rsid w:val="00A818CE"/>
    <w:rsid w:val="00A82BE4"/>
    <w:rsid w:val="00A86704"/>
    <w:rsid w:val="00A877BF"/>
    <w:rsid w:val="00A9039A"/>
    <w:rsid w:val="00A92E4C"/>
    <w:rsid w:val="00A9495F"/>
    <w:rsid w:val="00AA3465"/>
    <w:rsid w:val="00AB1EFB"/>
    <w:rsid w:val="00AB72CD"/>
    <w:rsid w:val="00AC1A6B"/>
    <w:rsid w:val="00AC50D5"/>
    <w:rsid w:val="00AC5B19"/>
    <w:rsid w:val="00AC5D91"/>
    <w:rsid w:val="00AD71BF"/>
    <w:rsid w:val="00AE50BF"/>
    <w:rsid w:val="00AE73E1"/>
    <w:rsid w:val="00AE7C6A"/>
    <w:rsid w:val="00AF113D"/>
    <w:rsid w:val="00AF1CC2"/>
    <w:rsid w:val="00AF589D"/>
    <w:rsid w:val="00AF719F"/>
    <w:rsid w:val="00B02CA3"/>
    <w:rsid w:val="00B0506C"/>
    <w:rsid w:val="00B06040"/>
    <w:rsid w:val="00B07A32"/>
    <w:rsid w:val="00B1118E"/>
    <w:rsid w:val="00B14F87"/>
    <w:rsid w:val="00B16EB9"/>
    <w:rsid w:val="00B242F2"/>
    <w:rsid w:val="00B35F8D"/>
    <w:rsid w:val="00B40059"/>
    <w:rsid w:val="00B445D4"/>
    <w:rsid w:val="00B47D2E"/>
    <w:rsid w:val="00B52512"/>
    <w:rsid w:val="00B54E68"/>
    <w:rsid w:val="00B56915"/>
    <w:rsid w:val="00B60F29"/>
    <w:rsid w:val="00B65F48"/>
    <w:rsid w:val="00B66D3B"/>
    <w:rsid w:val="00B71A2E"/>
    <w:rsid w:val="00B75C76"/>
    <w:rsid w:val="00B83CD0"/>
    <w:rsid w:val="00B87066"/>
    <w:rsid w:val="00B90A13"/>
    <w:rsid w:val="00B94234"/>
    <w:rsid w:val="00BA5056"/>
    <w:rsid w:val="00BA5603"/>
    <w:rsid w:val="00BB3E0D"/>
    <w:rsid w:val="00BC1E8E"/>
    <w:rsid w:val="00BC462E"/>
    <w:rsid w:val="00BC74CC"/>
    <w:rsid w:val="00BC7CB5"/>
    <w:rsid w:val="00BD14BC"/>
    <w:rsid w:val="00BD4314"/>
    <w:rsid w:val="00BD5F1E"/>
    <w:rsid w:val="00BE2CFC"/>
    <w:rsid w:val="00BE4D4A"/>
    <w:rsid w:val="00BF402F"/>
    <w:rsid w:val="00BF4C03"/>
    <w:rsid w:val="00BF5155"/>
    <w:rsid w:val="00BF6FE5"/>
    <w:rsid w:val="00C02DC8"/>
    <w:rsid w:val="00C05199"/>
    <w:rsid w:val="00C07FA4"/>
    <w:rsid w:val="00C116BF"/>
    <w:rsid w:val="00C12ACC"/>
    <w:rsid w:val="00C160C4"/>
    <w:rsid w:val="00C211B6"/>
    <w:rsid w:val="00C249EC"/>
    <w:rsid w:val="00C2569A"/>
    <w:rsid w:val="00C3062E"/>
    <w:rsid w:val="00C31CA3"/>
    <w:rsid w:val="00C3269D"/>
    <w:rsid w:val="00C40A57"/>
    <w:rsid w:val="00C60BF1"/>
    <w:rsid w:val="00C65E3E"/>
    <w:rsid w:val="00C70F32"/>
    <w:rsid w:val="00C7100F"/>
    <w:rsid w:val="00C72181"/>
    <w:rsid w:val="00C73D80"/>
    <w:rsid w:val="00C74199"/>
    <w:rsid w:val="00C7677C"/>
    <w:rsid w:val="00C76901"/>
    <w:rsid w:val="00C814FA"/>
    <w:rsid w:val="00C83098"/>
    <w:rsid w:val="00C83ED3"/>
    <w:rsid w:val="00C905B4"/>
    <w:rsid w:val="00C91A4D"/>
    <w:rsid w:val="00C97AAD"/>
    <w:rsid w:val="00CA032D"/>
    <w:rsid w:val="00CA5A75"/>
    <w:rsid w:val="00CB36D4"/>
    <w:rsid w:val="00CB5081"/>
    <w:rsid w:val="00CB79AE"/>
    <w:rsid w:val="00CC150D"/>
    <w:rsid w:val="00CC436B"/>
    <w:rsid w:val="00CC50CB"/>
    <w:rsid w:val="00CC5CDB"/>
    <w:rsid w:val="00CD032A"/>
    <w:rsid w:val="00CD294E"/>
    <w:rsid w:val="00CD40ED"/>
    <w:rsid w:val="00CD55AB"/>
    <w:rsid w:val="00CD596B"/>
    <w:rsid w:val="00CD5D40"/>
    <w:rsid w:val="00CE1003"/>
    <w:rsid w:val="00CE3E6C"/>
    <w:rsid w:val="00CE7BFC"/>
    <w:rsid w:val="00CF03FC"/>
    <w:rsid w:val="00CF066B"/>
    <w:rsid w:val="00CF2C79"/>
    <w:rsid w:val="00D016E9"/>
    <w:rsid w:val="00D04AD6"/>
    <w:rsid w:val="00D10352"/>
    <w:rsid w:val="00D141A5"/>
    <w:rsid w:val="00D17549"/>
    <w:rsid w:val="00D22567"/>
    <w:rsid w:val="00D262A5"/>
    <w:rsid w:val="00D31554"/>
    <w:rsid w:val="00D34025"/>
    <w:rsid w:val="00D37DCF"/>
    <w:rsid w:val="00D46E5F"/>
    <w:rsid w:val="00D547A4"/>
    <w:rsid w:val="00D57150"/>
    <w:rsid w:val="00D6104D"/>
    <w:rsid w:val="00D6501C"/>
    <w:rsid w:val="00D70F00"/>
    <w:rsid w:val="00D77AA3"/>
    <w:rsid w:val="00D84C79"/>
    <w:rsid w:val="00D8524F"/>
    <w:rsid w:val="00D85B7D"/>
    <w:rsid w:val="00D97330"/>
    <w:rsid w:val="00DA44F9"/>
    <w:rsid w:val="00DA4760"/>
    <w:rsid w:val="00DA4F45"/>
    <w:rsid w:val="00DC1538"/>
    <w:rsid w:val="00DC4EB6"/>
    <w:rsid w:val="00DD51A1"/>
    <w:rsid w:val="00DD5CED"/>
    <w:rsid w:val="00DD6C8F"/>
    <w:rsid w:val="00DE1C47"/>
    <w:rsid w:val="00DE1F0E"/>
    <w:rsid w:val="00DE4A56"/>
    <w:rsid w:val="00DE7B1E"/>
    <w:rsid w:val="00DF12A8"/>
    <w:rsid w:val="00DF6601"/>
    <w:rsid w:val="00E01F56"/>
    <w:rsid w:val="00E12B66"/>
    <w:rsid w:val="00E16B90"/>
    <w:rsid w:val="00E207FB"/>
    <w:rsid w:val="00E24DA9"/>
    <w:rsid w:val="00E25F96"/>
    <w:rsid w:val="00E31830"/>
    <w:rsid w:val="00E36DFC"/>
    <w:rsid w:val="00E37324"/>
    <w:rsid w:val="00E37838"/>
    <w:rsid w:val="00E414B8"/>
    <w:rsid w:val="00E45078"/>
    <w:rsid w:val="00E50AB6"/>
    <w:rsid w:val="00E56264"/>
    <w:rsid w:val="00E57A37"/>
    <w:rsid w:val="00E57ED1"/>
    <w:rsid w:val="00E61B93"/>
    <w:rsid w:val="00E63B51"/>
    <w:rsid w:val="00E63B60"/>
    <w:rsid w:val="00E64309"/>
    <w:rsid w:val="00E70636"/>
    <w:rsid w:val="00E85C9E"/>
    <w:rsid w:val="00E909B4"/>
    <w:rsid w:val="00E95D7D"/>
    <w:rsid w:val="00EA3263"/>
    <w:rsid w:val="00EB275B"/>
    <w:rsid w:val="00EB2A56"/>
    <w:rsid w:val="00EB69B4"/>
    <w:rsid w:val="00EC0BD2"/>
    <w:rsid w:val="00EC3A74"/>
    <w:rsid w:val="00EC54C8"/>
    <w:rsid w:val="00ED23C6"/>
    <w:rsid w:val="00ED4CF1"/>
    <w:rsid w:val="00ED4DFC"/>
    <w:rsid w:val="00ED58B5"/>
    <w:rsid w:val="00ED6FCB"/>
    <w:rsid w:val="00EE0655"/>
    <w:rsid w:val="00F10B0C"/>
    <w:rsid w:val="00F12AE0"/>
    <w:rsid w:val="00F15FD6"/>
    <w:rsid w:val="00F22EA3"/>
    <w:rsid w:val="00F243D4"/>
    <w:rsid w:val="00F37F4E"/>
    <w:rsid w:val="00F4000A"/>
    <w:rsid w:val="00F42EBF"/>
    <w:rsid w:val="00F52744"/>
    <w:rsid w:val="00F56544"/>
    <w:rsid w:val="00F666BB"/>
    <w:rsid w:val="00F70069"/>
    <w:rsid w:val="00F70378"/>
    <w:rsid w:val="00F739C6"/>
    <w:rsid w:val="00F75747"/>
    <w:rsid w:val="00F902F5"/>
    <w:rsid w:val="00F92C88"/>
    <w:rsid w:val="00F942EA"/>
    <w:rsid w:val="00FA27FB"/>
    <w:rsid w:val="00FD1F9D"/>
    <w:rsid w:val="00FD54AC"/>
    <w:rsid w:val="00FD5A65"/>
    <w:rsid w:val="00FD6697"/>
    <w:rsid w:val="00FD7AF9"/>
    <w:rsid w:val="00FF48E9"/>
    <w:rsid w:val="1A51CD69"/>
    <w:rsid w:val="50E9C9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D83DD"/>
  <w15:chartTrackingRefBased/>
  <w15:docId w15:val="{0C9DE1E2-3121-4432-B62B-8327AB07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40"/>
    <w:rPr>
      <w:rFonts w:ascii="Verdana" w:hAnsi="Verdana"/>
      <w:sz w:val="24"/>
    </w:rPr>
  </w:style>
  <w:style w:type="paragraph" w:styleId="Ttulo1">
    <w:name w:val="heading 1"/>
    <w:basedOn w:val="Normal"/>
    <w:next w:val="Normal"/>
    <w:link w:val="Ttulo1Car"/>
    <w:uiPriority w:val="9"/>
    <w:qFormat/>
    <w:rsid w:val="00C3062E"/>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29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3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36B"/>
  </w:style>
  <w:style w:type="paragraph" w:styleId="Piedepgina">
    <w:name w:val="footer"/>
    <w:basedOn w:val="Normal"/>
    <w:link w:val="PiedepginaCar"/>
    <w:uiPriority w:val="99"/>
    <w:unhideWhenUsed/>
    <w:rsid w:val="00CC43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36B"/>
  </w:style>
  <w:style w:type="table" w:styleId="Tablaconcuadrcula">
    <w:name w:val="Table Grid"/>
    <w:basedOn w:val="Tablanormal"/>
    <w:uiPriority w:val="39"/>
    <w:rsid w:val="0026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404C"/>
    <w:pPr>
      <w:ind w:left="720"/>
      <w:contextualSpacing/>
    </w:pPr>
  </w:style>
  <w:style w:type="paragraph" w:styleId="Sinespaciado">
    <w:name w:val="No Spacing"/>
    <w:uiPriority w:val="1"/>
    <w:qFormat/>
    <w:rsid w:val="0026404C"/>
    <w:pPr>
      <w:spacing w:after="0" w:line="240" w:lineRule="auto"/>
    </w:pPr>
    <w:rPr>
      <w:rFonts w:ascii="Times New Roman" w:hAnsi="Times New Roman"/>
      <w:sz w:val="24"/>
    </w:rPr>
  </w:style>
  <w:style w:type="character" w:styleId="Textodelmarcadordeposicin">
    <w:name w:val="Placeholder Text"/>
    <w:basedOn w:val="Fuentedeprrafopredeter"/>
    <w:uiPriority w:val="99"/>
    <w:semiHidden/>
    <w:rsid w:val="0026404C"/>
    <w:rPr>
      <w:color w:val="808080"/>
    </w:rPr>
  </w:style>
  <w:style w:type="table" w:customStyle="1" w:styleId="Cuadrculadetablaclara1">
    <w:name w:val="Cuadrícula de tabla clara1"/>
    <w:basedOn w:val="Tablanormal"/>
    <w:uiPriority w:val="40"/>
    <w:rsid w:val="002640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1C41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1BB"/>
    <w:rPr>
      <w:rFonts w:ascii="Segoe UI" w:hAnsi="Segoe UI" w:cs="Segoe UI"/>
      <w:sz w:val="18"/>
      <w:szCs w:val="18"/>
    </w:rPr>
  </w:style>
  <w:style w:type="paragraph" w:styleId="Descripcin">
    <w:name w:val="caption"/>
    <w:basedOn w:val="Normal"/>
    <w:next w:val="Normal"/>
    <w:uiPriority w:val="35"/>
    <w:unhideWhenUsed/>
    <w:qFormat/>
    <w:rsid w:val="00BC7CB5"/>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614B4C"/>
    <w:rPr>
      <w:sz w:val="16"/>
      <w:szCs w:val="16"/>
    </w:rPr>
  </w:style>
  <w:style w:type="paragraph" w:styleId="Textocomentario">
    <w:name w:val="annotation text"/>
    <w:basedOn w:val="Normal"/>
    <w:link w:val="TextocomentarioCar"/>
    <w:uiPriority w:val="99"/>
    <w:unhideWhenUsed/>
    <w:rsid w:val="00614B4C"/>
    <w:pPr>
      <w:spacing w:line="240" w:lineRule="auto"/>
    </w:pPr>
    <w:rPr>
      <w:sz w:val="20"/>
      <w:szCs w:val="20"/>
    </w:rPr>
  </w:style>
  <w:style w:type="character" w:customStyle="1" w:styleId="TextocomentarioCar">
    <w:name w:val="Texto comentario Car"/>
    <w:basedOn w:val="Fuentedeprrafopredeter"/>
    <w:link w:val="Textocomentario"/>
    <w:uiPriority w:val="99"/>
    <w:rsid w:val="00614B4C"/>
    <w:rPr>
      <w:sz w:val="20"/>
      <w:szCs w:val="20"/>
    </w:rPr>
  </w:style>
  <w:style w:type="paragraph" w:styleId="Asuntodelcomentario">
    <w:name w:val="annotation subject"/>
    <w:basedOn w:val="Textocomentario"/>
    <w:next w:val="Textocomentario"/>
    <w:link w:val="AsuntodelcomentarioCar"/>
    <w:uiPriority w:val="99"/>
    <w:semiHidden/>
    <w:unhideWhenUsed/>
    <w:rsid w:val="00614B4C"/>
    <w:rPr>
      <w:b/>
      <w:bCs/>
    </w:rPr>
  </w:style>
  <w:style w:type="character" w:customStyle="1" w:styleId="AsuntodelcomentarioCar">
    <w:name w:val="Asunto del comentario Car"/>
    <w:basedOn w:val="TextocomentarioCar"/>
    <w:link w:val="Asuntodelcomentario"/>
    <w:uiPriority w:val="99"/>
    <w:semiHidden/>
    <w:rsid w:val="00614B4C"/>
    <w:rPr>
      <w:b/>
      <w:bCs/>
      <w:sz w:val="20"/>
      <w:szCs w:val="20"/>
    </w:rPr>
  </w:style>
  <w:style w:type="character" w:styleId="Hipervnculo">
    <w:name w:val="Hyperlink"/>
    <w:basedOn w:val="Fuentedeprrafopredeter"/>
    <w:uiPriority w:val="99"/>
    <w:unhideWhenUsed/>
    <w:rsid w:val="00C12ACC"/>
    <w:rPr>
      <w:color w:val="0563C1" w:themeColor="hyperlink"/>
      <w:u w:val="single"/>
    </w:rPr>
  </w:style>
  <w:style w:type="character" w:styleId="Hipervnculovisitado">
    <w:name w:val="FollowedHyperlink"/>
    <w:basedOn w:val="Fuentedeprrafopredeter"/>
    <w:uiPriority w:val="99"/>
    <w:semiHidden/>
    <w:unhideWhenUsed/>
    <w:rsid w:val="003408B2"/>
    <w:rPr>
      <w:color w:val="954F72" w:themeColor="followedHyperlink"/>
      <w:u w:val="single"/>
    </w:rPr>
  </w:style>
  <w:style w:type="paragraph" w:styleId="Ttulo">
    <w:name w:val="Title"/>
    <w:basedOn w:val="Normal"/>
    <w:next w:val="Normal"/>
    <w:link w:val="TtuloCar"/>
    <w:uiPriority w:val="10"/>
    <w:qFormat/>
    <w:rsid w:val="00CD5D40"/>
    <w:pPr>
      <w:spacing w:after="0" w:line="360" w:lineRule="auto"/>
      <w:contextualSpacing/>
      <w:jc w:val="center"/>
    </w:pPr>
    <w:rPr>
      <w:rFonts w:eastAsiaTheme="majorEastAsia" w:cstheme="majorBidi"/>
      <w:b/>
      <w:color w:val="000000" w:themeColor="text1"/>
      <w:spacing w:val="-10"/>
      <w:kern w:val="28"/>
      <w:szCs w:val="56"/>
    </w:rPr>
  </w:style>
  <w:style w:type="character" w:customStyle="1" w:styleId="TtuloCar">
    <w:name w:val="Título Car"/>
    <w:basedOn w:val="Fuentedeprrafopredeter"/>
    <w:link w:val="Ttulo"/>
    <w:uiPriority w:val="10"/>
    <w:rsid w:val="00CD5D40"/>
    <w:rPr>
      <w:rFonts w:ascii="Verdana" w:eastAsiaTheme="majorEastAsia" w:hAnsi="Verdana" w:cstheme="majorBidi"/>
      <w:b/>
      <w:color w:val="000000" w:themeColor="text1"/>
      <w:spacing w:val="-10"/>
      <w:kern w:val="28"/>
      <w:sz w:val="24"/>
      <w:szCs w:val="56"/>
    </w:rPr>
  </w:style>
  <w:style w:type="character" w:styleId="Mencinsinresolver">
    <w:name w:val="Unresolved Mention"/>
    <w:basedOn w:val="Fuentedeprrafopredeter"/>
    <w:uiPriority w:val="99"/>
    <w:semiHidden/>
    <w:unhideWhenUsed/>
    <w:rsid w:val="006D6768"/>
    <w:rPr>
      <w:color w:val="605E5C"/>
      <w:shd w:val="clear" w:color="auto" w:fill="E1DFDD"/>
    </w:rPr>
  </w:style>
  <w:style w:type="character" w:customStyle="1" w:styleId="Ttulo1Car">
    <w:name w:val="Título 1 Car"/>
    <w:basedOn w:val="Fuentedeprrafopredeter"/>
    <w:link w:val="Ttulo1"/>
    <w:uiPriority w:val="9"/>
    <w:rsid w:val="00C3062E"/>
    <w:rPr>
      <w:rFonts w:ascii="Verdana" w:eastAsiaTheme="majorEastAsia" w:hAnsi="Verdana" w:cstheme="majorBidi"/>
      <w:b/>
      <w:sz w:val="24"/>
      <w:szCs w:val="32"/>
    </w:rPr>
  </w:style>
  <w:style w:type="character" w:customStyle="1" w:styleId="Ttulo2Car">
    <w:name w:val="Título 2 Car"/>
    <w:basedOn w:val="Fuentedeprrafopredeter"/>
    <w:link w:val="Ttulo2"/>
    <w:uiPriority w:val="9"/>
    <w:rsid w:val="001B2983"/>
    <w:rPr>
      <w:rFonts w:asciiTheme="majorHAnsi" w:eastAsiaTheme="majorEastAsia" w:hAnsiTheme="majorHAnsi" w:cstheme="majorBidi"/>
      <w:color w:val="2E74B5" w:themeColor="accent1" w:themeShade="BF"/>
      <w:sz w:val="26"/>
      <w:szCs w:val="26"/>
    </w:rPr>
  </w:style>
  <w:style w:type="character" w:customStyle="1" w:styleId="Estilo1">
    <w:name w:val="Estilo1"/>
    <w:basedOn w:val="Fuentedeprrafopredeter"/>
    <w:uiPriority w:val="1"/>
    <w:rsid w:val="00902B23"/>
    <w:rPr>
      <w:rFonts w:ascii="Verdana" w:hAnsi="Verdana"/>
      <w:sz w:val="24"/>
    </w:rPr>
  </w:style>
  <w:style w:type="paragraph" w:customStyle="1" w:styleId="Standard">
    <w:name w:val="Standard"/>
    <w:rsid w:val="00E12B66"/>
    <w:pPr>
      <w:suppressAutoHyphens/>
      <w:autoSpaceDN w:val="0"/>
      <w:textAlignment w:val="baseline"/>
    </w:pPr>
    <w:rPr>
      <w:rFonts w:ascii="Calibri" w:eastAsia="Calibri" w:hAnsi="Calibri" w:cs="Calibri"/>
      <w:lang w:eastAsia="zh-CN" w:bidi="hi-IN"/>
    </w:rPr>
  </w:style>
  <w:style w:type="paragraph" w:customStyle="1" w:styleId="Default">
    <w:name w:val="Default"/>
    <w:rsid w:val="002F5095"/>
    <w:pPr>
      <w:autoSpaceDE w:val="0"/>
      <w:autoSpaceDN w:val="0"/>
      <w:adjustRightInd w:val="0"/>
      <w:spacing w:after="0" w:line="240" w:lineRule="auto"/>
      <w:jc w:val="center"/>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41565">
      <w:bodyDiv w:val="1"/>
      <w:marLeft w:val="0"/>
      <w:marRight w:val="0"/>
      <w:marTop w:val="0"/>
      <w:marBottom w:val="0"/>
      <w:divBdr>
        <w:top w:val="none" w:sz="0" w:space="0" w:color="auto"/>
        <w:left w:val="none" w:sz="0" w:space="0" w:color="auto"/>
        <w:bottom w:val="none" w:sz="0" w:space="0" w:color="auto"/>
        <w:right w:val="none" w:sz="0" w:space="0" w:color="auto"/>
      </w:divBdr>
    </w:div>
    <w:div w:id="15666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vadoc.uva.es/bitstream/handle/10324/26248/TFG-L1671.pdf?sequence=1&amp;isAllowed=y" TargetMode="External"/><Relationship Id="rId18" Type="http://schemas.openxmlformats.org/officeDocument/2006/relationships/hyperlink" Target="https://bffrepositorio.unal.edu.co/server/api/core/bitstreams/5b754c5b-4f1f-440b-bd57-27daf8443786/cont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uvsfajardo.sld.cu/sites/uvsfajardo.sld.cu/files/material_interaccion_entre_ens-desarrollo_vigotski.pdf" TargetMode="External"/><Relationship Id="rId17" Type="http://schemas.openxmlformats.org/officeDocument/2006/relationships/hyperlink" Target="https://d1wqtxts1xzle7.cloudfront.net/114263992/40518106-libre.pdf?1715087727=&amp;response-content-disposition=inline%3B+filename%3DSocioepistemologia_y_practicas_sociales.pdf&amp;Expires=1761095390&amp;Signature=g2Qcw9l8VkW5AoH~IiYyHvjSSymlV1BERLM9I~Cj6NyFQPDy9zC-XSW8F4GYroH-XHxW0g-YbBdiKH8k2xANPtNHWGIF-JA8U49VL26hece~4QKKJzV2E0J-1Qw2iipnc0tioz-x2xZMch72hg1AviVWzajKQ-McKGqlU50KmfZtO7s--2~wsJWF0quX7tJHYdvPAobpjDvljEyqoCVKA7ZbQ5Mb03WwR-zEhumaxK7Q1o3ZVW2KZAuBgJGcXACUINTdYe5KwB-vNAqrgNLK3EeNQWnx91vpHd69KMTpO508fFCDK7YivLp7XQLA7Wo4S~KWudmKBpRbw0URF5F7TQ__&amp;Key-Pair-Id=APKAJLOHF5GGSLRBV4Z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nglar.uninorte.edu.co/handle/10584/12895#page=30" TargetMode="External"/><Relationship Id="rId20" Type="http://schemas.openxmlformats.org/officeDocument/2006/relationships/hyperlink" Target="https://www.scielo.br/j/er/a/LtZFRC7MKy3qQsm3Xqb7bhn/?format=html&amp;lan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lo.org.mx/scielo.php?pid=S0185-26982020000200140&amp;script=sci_arttex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cta.ucm.es/rest/api/core/bitstreams/f31f4016-47f4-4d03-af79-211700c1363d/content"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repository.libertadores.edu.co/server/api/core/bitstreams/9b7faf26-b6cb-4d3d-997d-1fd66148fc6d/cont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fusioncientifica.info/index.php/difusioncientifica/article/view/70/133"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30CED5ABB84B3EB98494C209E0CAC2"/>
        <w:category>
          <w:name w:val="General"/>
          <w:gallery w:val="placeholder"/>
        </w:category>
        <w:types>
          <w:type w:val="bbPlcHdr"/>
        </w:types>
        <w:behaviors>
          <w:behavior w:val="content"/>
        </w:behaviors>
        <w:guid w:val="{C32D0787-B3AA-4A2D-9CB8-B7947F9637C3}"/>
      </w:docPartPr>
      <w:docPartBody>
        <w:p w:rsidR="00E9382C" w:rsidRDefault="00D322C2" w:rsidP="00D322C2">
          <w:pPr>
            <w:pStyle w:val="5830CED5ABB84B3EB98494C209E0CAC2"/>
          </w:pPr>
          <w:r w:rsidRPr="004D6AB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C2"/>
    <w:rsid w:val="00090E60"/>
    <w:rsid w:val="00091BB2"/>
    <w:rsid w:val="003963AA"/>
    <w:rsid w:val="00615BD9"/>
    <w:rsid w:val="006C65CC"/>
    <w:rsid w:val="009B06BB"/>
    <w:rsid w:val="00D322C2"/>
    <w:rsid w:val="00E9382C"/>
    <w:rsid w:val="00EC23E0"/>
    <w:rsid w:val="00F739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22C2"/>
    <w:rPr>
      <w:color w:val="808080"/>
    </w:rPr>
  </w:style>
  <w:style w:type="paragraph" w:customStyle="1" w:styleId="5830CED5ABB84B3EB98494C209E0CAC2">
    <w:name w:val="5830CED5ABB84B3EB98494C209E0CAC2"/>
    <w:rsid w:val="00D32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57a931-c02a-4cc2-8c33-3ee4ce8e004b" xsi:nil="true"/>
    <lcf76f155ced4ddcb4097134ff3c332f xmlns="9874bfdb-7aa0-40e8-a165-684c4e387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4B464B1D347F04298FC707333A50E42" ma:contentTypeVersion="14" ma:contentTypeDescription="Crear nuevo documento." ma:contentTypeScope="" ma:versionID="269e7ebf25da21f397728440c9741dec">
  <xsd:schema xmlns:xsd="http://www.w3.org/2001/XMLSchema" xmlns:xs="http://www.w3.org/2001/XMLSchema" xmlns:p="http://schemas.microsoft.com/office/2006/metadata/properties" xmlns:ns2="9874bfdb-7aa0-40e8-a165-684c4e3872d8" xmlns:ns3="f157a931-c02a-4cc2-8c33-3ee4ce8e004b" targetNamespace="http://schemas.microsoft.com/office/2006/metadata/properties" ma:root="true" ma:fieldsID="100d3f0cdd1cfe66f3c450f702f04a39" ns2:_="" ns3:_="">
    <xsd:import namespace="9874bfdb-7aa0-40e8-a165-684c4e3872d8"/>
    <xsd:import namespace="f157a931-c02a-4cc2-8c33-3ee4ce8e00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4bfdb-7aa0-40e8-a165-684c4e387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42bb89-d187-4b37-ae3c-881a0dbe46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7a931-c02a-4cc2-8c33-3ee4ce8e00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2ab9db-3604-4dbb-abec-63d33a238f7d}" ma:internalName="TaxCatchAll" ma:showField="CatchAllData" ma:web="f157a931-c02a-4cc2-8c33-3ee4ce8e00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957B4-2219-4F55-9EE3-D4985BDD4816}">
  <ds:schemaRefs>
    <ds:schemaRef ds:uri="http://schemas.microsoft.com/sharepoint/v3/contenttype/forms"/>
  </ds:schemaRefs>
</ds:datastoreItem>
</file>

<file path=customXml/itemProps2.xml><?xml version="1.0" encoding="utf-8"?>
<ds:datastoreItem xmlns:ds="http://schemas.openxmlformats.org/officeDocument/2006/customXml" ds:itemID="{5E645A87-E01E-4F1E-B3E6-A4812183331A}">
  <ds:schemaRefs>
    <ds:schemaRef ds:uri="http://schemas.openxmlformats.org/officeDocument/2006/bibliography"/>
  </ds:schemaRefs>
</ds:datastoreItem>
</file>

<file path=customXml/itemProps3.xml><?xml version="1.0" encoding="utf-8"?>
<ds:datastoreItem xmlns:ds="http://schemas.openxmlformats.org/officeDocument/2006/customXml" ds:itemID="{75D1C773-847A-4C0C-99B9-7682BBD19801}">
  <ds:schemaRefs>
    <ds:schemaRef ds:uri="http://schemas.microsoft.com/office/2006/metadata/properties"/>
    <ds:schemaRef ds:uri="http://schemas.microsoft.com/office/infopath/2007/PartnerControls"/>
    <ds:schemaRef ds:uri="f157a931-c02a-4cc2-8c33-3ee4ce8e004b"/>
    <ds:schemaRef ds:uri="9874bfdb-7aa0-40e8-a165-684c4e3872d8"/>
  </ds:schemaRefs>
</ds:datastoreItem>
</file>

<file path=customXml/itemProps4.xml><?xml version="1.0" encoding="utf-8"?>
<ds:datastoreItem xmlns:ds="http://schemas.openxmlformats.org/officeDocument/2006/customXml" ds:itemID="{357189B2-C04A-45B4-BCE2-850544D1E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4bfdb-7aa0-40e8-a165-684c4e3872d8"/>
    <ds:schemaRef ds:uri="f157a931-c02a-4cc2-8c33-3ee4ce8e0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1878</Words>
  <Characters>10332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12186</CharactersWithSpaces>
  <SharedDoc>false</SharedDoc>
  <HLinks>
    <vt:vector size="6" baseType="variant">
      <vt:variant>
        <vt:i4>2293875</vt:i4>
      </vt:variant>
      <vt:variant>
        <vt:i4>0</vt:i4>
      </vt:variant>
      <vt:variant>
        <vt:i4>0</vt:i4>
      </vt:variant>
      <vt:variant>
        <vt:i4>5</vt:i4>
      </vt:variant>
      <vt:variant>
        <vt:lpwstr>https://docs.google.com/spreadsheets/d/1Ot0T2sZ9fUZubcnyqQOmXE9sy21a6i_f0NxCU8GXTec/edit?usp=drive_link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guerrero</dc:creator>
  <cp:keywords/>
  <dc:description/>
  <cp:lastModifiedBy>oscar mena</cp:lastModifiedBy>
  <cp:revision>5</cp:revision>
  <cp:lastPrinted>2019-10-17T20:52:00Z</cp:lastPrinted>
  <dcterms:created xsi:type="dcterms:W3CDTF">2025-07-29T00:04:00Z</dcterms:created>
  <dcterms:modified xsi:type="dcterms:W3CDTF">2025-10-22T01:18:00Z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0x01010084B464B1D347F04298FC707333A50E42</vt:lpwstr>
  </property>
  <property fmtid="{D5CDD505-2E9C-101B-9397-08002B2CF9AE}" pid="3" name="GrammarlyDocumentId">
    <vt:lpwstr>8fcbaab4f612c2924c0619b00712fbf14672b4e3e4c65d00bb4e8532058bf758</vt:lpwstr>
  </property>
</Properties>
</file>